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76F59A" w14:textId="77777777" w:rsidR="00076776" w:rsidRDefault="00000000">
      <w:pPr>
        <w:pStyle w:val="Title"/>
      </w:pPr>
      <w:r>
        <w:t>K. Shortreed Focused Field Notes</w:t>
      </w:r>
    </w:p>
    <w:sdt>
      <w:sdtPr>
        <w:id w:val="700050209"/>
        <w:docPartObj>
          <w:docPartGallery w:val="Table of Contents"/>
          <w:docPartUnique/>
        </w:docPartObj>
      </w:sdtPr>
      <w:sdtContent>
        <w:p w14:paraId="3AB8E2B9"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r>
            <w:fldChar w:fldCharType="begin"/>
          </w:r>
          <w:r w:rsidR="00000000">
            <w:instrText xml:space="preserve"> TOC \h \u \z </w:instrText>
          </w:r>
          <w:r>
            <w:fldChar w:fldCharType="separate"/>
          </w:r>
          <w:hyperlink w:anchor="_heading=h.gjdgxs">
            <w:r>
              <w:rPr>
                <w:rFonts w:ascii="Calibri" w:eastAsia="Calibri" w:hAnsi="Calibri" w:cs="Calibri"/>
                <w:b/>
                <w:smallCaps/>
                <w:color w:val="000000"/>
                <w:sz w:val="20"/>
                <w:szCs w:val="20"/>
              </w:rPr>
              <w:t>Introduction</w:t>
            </w:r>
            <w:r>
              <w:rPr>
                <w:rFonts w:ascii="Calibri" w:eastAsia="Calibri" w:hAnsi="Calibri" w:cs="Calibri"/>
                <w:b/>
                <w:smallCaps/>
                <w:color w:val="000000"/>
                <w:sz w:val="20"/>
                <w:szCs w:val="20"/>
              </w:rPr>
              <w:tab/>
              <w:t>2</w:t>
            </w:r>
          </w:hyperlink>
        </w:p>
        <w:p w14:paraId="61DE9B83"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30j0zll">
            <w:r>
              <w:rPr>
                <w:rFonts w:ascii="Calibri" w:eastAsia="Calibri" w:hAnsi="Calibri" w:cs="Calibri"/>
                <w:b/>
                <w:smallCaps/>
                <w:color w:val="000000"/>
                <w:sz w:val="20"/>
                <w:szCs w:val="20"/>
              </w:rPr>
              <w:t>Document To-dos</w:t>
            </w:r>
            <w:r>
              <w:rPr>
                <w:rFonts w:ascii="Calibri" w:eastAsia="Calibri" w:hAnsi="Calibri" w:cs="Calibri"/>
                <w:b/>
                <w:smallCaps/>
                <w:color w:val="000000"/>
                <w:sz w:val="20"/>
                <w:szCs w:val="20"/>
              </w:rPr>
              <w:tab/>
              <w:t>6</w:t>
            </w:r>
          </w:hyperlink>
        </w:p>
        <w:p w14:paraId="3400D54B"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1fob9te">
            <w:r>
              <w:rPr>
                <w:rFonts w:ascii="Calibri" w:eastAsia="Calibri" w:hAnsi="Calibri" w:cs="Calibri"/>
                <w:b/>
                <w:smallCaps/>
                <w:color w:val="000000"/>
                <w:sz w:val="20"/>
                <w:szCs w:val="20"/>
              </w:rPr>
              <w:t>Theme index</w:t>
            </w:r>
            <w:r>
              <w:rPr>
                <w:rFonts w:ascii="Calibri" w:eastAsia="Calibri" w:hAnsi="Calibri" w:cs="Calibri"/>
                <w:b/>
                <w:smallCaps/>
                <w:color w:val="000000"/>
                <w:sz w:val="20"/>
                <w:szCs w:val="20"/>
              </w:rPr>
              <w:tab/>
              <w:t>6</w:t>
            </w:r>
          </w:hyperlink>
        </w:p>
        <w:p w14:paraId="1F037CE2"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3znysh7">
            <w:r>
              <w:rPr>
                <w:rFonts w:ascii="Calibri" w:eastAsia="Calibri" w:hAnsi="Calibri" w:cs="Calibri"/>
                <w:b/>
                <w:smallCaps/>
                <w:color w:val="000000"/>
                <w:sz w:val="20"/>
                <w:szCs w:val="20"/>
              </w:rPr>
              <w:t>&gt;&gt;&gt; “CONTRACOLONIAL” Readings&lt;&lt;&lt;</w:t>
            </w:r>
            <w:r>
              <w:rPr>
                <w:rFonts w:ascii="Calibri" w:eastAsia="Calibri" w:hAnsi="Calibri" w:cs="Calibri"/>
                <w:b/>
                <w:smallCaps/>
                <w:color w:val="000000"/>
                <w:sz w:val="20"/>
                <w:szCs w:val="20"/>
              </w:rPr>
              <w:tab/>
              <w:t>13</w:t>
            </w:r>
          </w:hyperlink>
        </w:p>
        <w:p w14:paraId="63DAAD63"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2et92p0">
            <w:r>
              <w:rPr>
                <w:rFonts w:ascii="Calibri" w:eastAsia="Calibri" w:hAnsi="Calibri" w:cs="Calibri"/>
                <w:b/>
                <w:smallCaps/>
                <w:color w:val="000000"/>
                <w:sz w:val="20"/>
                <w:szCs w:val="20"/>
              </w:rPr>
              <w:t>(2006) Wolfe, “Settler Colonialism and the Elimination of the Native”</w:t>
            </w:r>
            <w:r>
              <w:rPr>
                <w:rFonts w:ascii="Calibri" w:eastAsia="Calibri" w:hAnsi="Calibri" w:cs="Calibri"/>
                <w:b/>
                <w:smallCaps/>
                <w:color w:val="000000"/>
                <w:sz w:val="20"/>
                <w:szCs w:val="20"/>
              </w:rPr>
              <w:tab/>
              <w:t>14</w:t>
            </w:r>
          </w:hyperlink>
        </w:p>
        <w:p w14:paraId="573A8D26"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3dy6vkm">
            <w:r>
              <w:rPr>
                <w:rFonts w:ascii="Calibri" w:eastAsia="Calibri" w:hAnsi="Calibri" w:cs="Calibri"/>
                <w:b/>
                <w:smallCaps/>
                <w:color w:val="000000"/>
                <w:sz w:val="20"/>
                <w:szCs w:val="20"/>
              </w:rPr>
              <w:t xml:space="preserve">(2011) Umeek (Atleo), </w:t>
            </w:r>
          </w:hyperlink>
          <w:hyperlink w:anchor="_heading=h.3dy6vkm">
            <w:r>
              <w:rPr>
                <w:rFonts w:ascii="Calibri" w:eastAsia="Calibri" w:hAnsi="Calibri" w:cs="Calibri"/>
                <w:b/>
                <w:i/>
                <w:smallCaps/>
                <w:color w:val="000000"/>
                <w:sz w:val="20"/>
                <w:szCs w:val="20"/>
              </w:rPr>
              <w:t>Principles of Tsawalk: An Indigenous Approach to a Global Crisis</w:t>
            </w:r>
          </w:hyperlink>
          <w:hyperlink w:anchor="_heading=h.3dy6vkm">
            <w:r>
              <w:rPr>
                <w:rFonts w:ascii="Calibri" w:eastAsia="Calibri" w:hAnsi="Calibri" w:cs="Calibri"/>
                <w:b/>
                <w:smallCaps/>
                <w:color w:val="000000"/>
                <w:sz w:val="20"/>
                <w:szCs w:val="20"/>
              </w:rPr>
              <w:tab/>
              <w:t>21</w:t>
            </w:r>
          </w:hyperlink>
        </w:p>
        <w:p w14:paraId="7C45D101"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1t3h5sf">
            <w:r>
              <w:rPr>
                <w:rFonts w:ascii="Calibri" w:eastAsia="Calibri" w:hAnsi="Calibri" w:cs="Calibri"/>
                <w:b/>
                <w:smallCaps/>
                <w:color w:val="000000"/>
                <w:sz w:val="20"/>
                <w:szCs w:val="20"/>
              </w:rPr>
              <w:t>(2010) Christen, “Does information really want to be free? Indigenous knowledge systems and the question of openness”</w:t>
            </w:r>
            <w:r>
              <w:rPr>
                <w:rFonts w:ascii="Calibri" w:eastAsia="Calibri" w:hAnsi="Calibri" w:cs="Calibri"/>
                <w:b/>
                <w:smallCaps/>
                <w:color w:val="000000"/>
                <w:sz w:val="20"/>
                <w:szCs w:val="20"/>
              </w:rPr>
              <w:tab/>
              <w:t>28</w:t>
            </w:r>
          </w:hyperlink>
        </w:p>
        <w:p w14:paraId="1D700A47"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4d34og8">
            <w:r>
              <w:rPr>
                <w:rFonts w:ascii="Calibri" w:eastAsia="Calibri" w:hAnsi="Calibri" w:cs="Calibri"/>
                <w:b/>
                <w:smallCaps/>
                <w:color w:val="000000"/>
                <w:sz w:val="20"/>
                <w:szCs w:val="20"/>
              </w:rPr>
              <w:t xml:space="preserve">(2010) Kovach, </w:t>
            </w:r>
          </w:hyperlink>
          <w:hyperlink w:anchor="_heading=h.4d34og8">
            <w:r>
              <w:rPr>
                <w:rFonts w:ascii="Calibri" w:eastAsia="Calibri" w:hAnsi="Calibri" w:cs="Calibri"/>
                <w:b/>
                <w:i/>
                <w:smallCaps/>
                <w:color w:val="000000"/>
                <w:sz w:val="20"/>
                <w:szCs w:val="20"/>
              </w:rPr>
              <w:t>Indigenous Methodologies: Characteristics, Conversations, and Contexts</w:t>
            </w:r>
          </w:hyperlink>
          <w:hyperlink w:anchor="_heading=h.4d34og8">
            <w:r>
              <w:rPr>
                <w:rFonts w:ascii="Calibri" w:eastAsia="Calibri" w:hAnsi="Calibri" w:cs="Calibri"/>
                <w:b/>
                <w:smallCaps/>
                <w:color w:val="000000"/>
                <w:sz w:val="20"/>
                <w:szCs w:val="20"/>
              </w:rPr>
              <w:tab/>
              <w:t>34</w:t>
            </w:r>
          </w:hyperlink>
        </w:p>
        <w:p w14:paraId="6E470375"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2s8eyo1">
            <w:r>
              <w:rPr>
                <w:rFonts w:ascii="Calibri" w:eastAsia="Calibri" w:hAnsi="Calibri" w:cs="Calibri"/>
                <w:b/>
                <w:smallCaps/>
                <w:color w:val="000000"/>
                <w:sz w:val="20"/>
                <w:szCs w:val="20"/>
              </w:rPr>
              <w:t xml:space="preserve">(2012) Smith, </w:t>
            </w:r>
          </w:hyperlink>
          <w:hyperlink w:anchor="_heading=h.2s8eyo1">
            <w:r>
              <w:rPr>
                <w:rFonts w:ascii="Calibri" w:eastAsia="Calibri" w:hAnsi="Calibri" w:cs="Calibri"/>
                <w:b/>
                <w:i/>
                <w:smallCaps/>
                <w:color w:val="000000"/>
                <w:sz w:val="20"/>
                <w:szCs w:val="20"/>
              </w:rPr>
              <w:t>Decolonizing Methodologies: Research and Indigenous Peoples</w:t>
            </w:r>
          </w:hyperlink>
          <w:hyperlink w:anchor="_heading=h.2s8eyo1">
            <w:r>
              <w:rPr>
                <w:rFonts w:ascii="Calibri" w:eastAsia="Calibri" w:hAnsi="Calibri" w:cs="Calibri"/>
                <w:b/>
                <w:smallCaps/>
                <w:color w:val="000000"/>
                <w:sz w:val="20"/>
                <w:szCs w:val="20"/>
              </w:rPr>
              <w:tab/>
              <w:t>41</w:t>
            </w:r>
          </w:hyperlink>
        </w:p>
        <w:p w14:paraId="355C8C27"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17dp8vu">
            <w:r>
              <w:rPr>
                <w:rFonts w:ascii="Calibri" w:eastAsia="Calibri" w:hAnsi="Calibri" w:cs="Calibri"/>
                <w:b/>
                <w:smallCaps/>
                <w:color w:val="000000"/>
                <w:sz w:val="20"/>
                <w:szCs w:val="20"/>
              </w:rPr>
              <w:t>*(2012) Tuck &amp; Yang, “Decolonization is Not a Metaphor”</w:t>
            </w:r>
            <w:r>
              <w:rPr>
                <w:rFonts w:ascii="Calibri" w:eastAsia="Calibri" w:hAnsi="Calibri" w:cs="Calibri"/>
                <w:b/>
                <w:smallCaps/>
                <w:color w:val="000000"/>
                <w:sz w:val="20"/>
                <w:szCs w:val="20"/>
              </w:rPr>
              <w:tab/>
              <w:t>49</w:t>
            </w:r>
          </w:hyperlink>
        </w:p>
        <w:p w14:paraId="3A79762E"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3rdcrjn">
            <w:r>
              <w:rPr>
                <w:rFonts w:ascii="Calibri" w:eastAsia="Calibri" w:hAnsi="Calibri" w:cs="Calibri"/>
                <w:b/>
                <w:smallCaps/>
                <w:color w:val="000000"/>
                <w:sz w:val="20"/>
                <w:szCs w:val="20"/>
              </w:rPr>
              <w:t>(2014) Simpson, “Land as Pedagogy: Nishnaabeg Intelligence and Rebellious Transformation”</w:t>
            </w:r>
            <w:r>
              <w:rPr>
                <w:rFonts w:ascii="Calibri" w:eastAsia="Calibri" w:hAnsi="Calibri" w:cs="Calibri"/>
                <w:b/>
                <w:smallCaps/>
                <w:color w:val="000000"/>
                <w:sz w:val="20"/>
                <w:szCs w:val="20"/>
              </w:rPr>
              <w:tab/>
              <w:t>56</w:t>
            </w:r>
          </w:hyperlink>
        </w:p>
        <w:p w14:paraId="60B79D86"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26in1rg">
            <w:r>
              <w:rPr>
                <w:rFonts w:ascii="Calibri" w:eastAsia="Calibri" w:hAnsi="Calibri" w:cs="Calibri"/>
                <w:b/>
                <w:smallCaps/>
                <w:color w:val="000000"/>
                <w:sz w:val="20"/>
                <w:szCs w:val="20"/>
              </w:rPr>
              <w:t>(2016) Kauanui, “‘A Structure, Not an Event’: Settler Colonialism and Enduring Indigeneity”</w:t>
            </w:r>
            <w:r>
              <w:rPr>
                <w:rFonts w:ascii="Calibri" w:eastAsia="Calibri" w:hAnsi="Calibri" w:cs="Calibri"/>
                <w:b/>
                <w:smallCaps/>
                <w:color w:val="000000"/>
                <w:sz w:val="20"/>
                <w:szCs w:val="20"/>
              </w:rPr>
              <w:tab/>
              <w:t>62</w:t>
            </w:r>
          </w:hyperlink>
        </w:p>
        <w:p w14:paraId="7F22FD36"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lnxbz9">
            <w:r>
              <w:rPr>
                <w:rFonts w:ascii="Calibri" w:eastAsia="Calibri" w:hAnsi="Calibri" w:cs="Calibri"/>
                <w:b/>
                <w:smallCaps/>
                <w:color w:val="000000"/>
                <w:sz w:val="20"/>
                <w:szCs w:val="20"/>
              </w:rPr>
              <w:t xml:space="preserve">*(2017) Barnd, </w:t>
            </w:r>
          </w:hyperlink>
          <w:hyperlink w:anchor="_heading=h.lnxbz9">
            <w:r>
              <w:rPr>
                <w:rFonts w:ascii="Calibri" w:eastAsia="Calibri" w:hAnsi="Calibri" w:cs="Calibri"/>
                <w:b/>
                <w:i/>
                <w:smallCaps/>
                <w:color w:val="000000"/>
                <w:sz w:val="20"/>
                <w:szCs w:val="20"/>
              </w:rPr>
              <w:t>Native space: Geographic Strategies to Unsettle Settler Colonialism</w:t>
            </w:r>
          </w:hyperlink>
          <w:hyperlink w:anchor="_heading=h.lnxbz9">
            <w:r>
              <w:rPr>
                <w:rFonts w:ascii="Calibri" w:eastAsia="Calibri" w:hAnsi="Calibri" w:cs="Calibri"/>
                <w:b/>
                <w:smallCaps/>
                <w:color w:val="000000"/>
                <w:sz w:val="20"/>
                <w:szCs w:val="20"/>
              </w:rPr>
              <w:tab/>
              <w:t>65</w:t>
            </w:r>
          </w:hyperlink>
        </w:p>
        <w:p w14:paraId="7C58F128"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35nkun2">
            <w:r>
              <w:rPr>
                <w:rFonts w:ascii="Calibri" w:eastAsia="Calibri" w:hAnsi="Calibri" w:cs="Calibri"/>
                <w:b/>
                <w:smallCaps/>
                <w:color w:val="000000"/>
                <w:sz w:val="20"/>
                <w:szCs w:val="20"/>
              </w:rPr>
              <w:t>(2017) Davis, et. al., “Complicated pathways: settler Canadians learning to re/frame themselves and their relationships with Indigenous peoples”</w:t>
            </w:r>
            <w:r>
              <w:rPr>
                <w:rFonts w:ascii="Calibri" w:eastAsia="Calibri" w:hAnsi="Calibri" w:cs="Calibri"/>
                <w:b/>
                <w:smallCaps/>
                <w:color w:val="000000"/>
                <w:sz w:val="20"/>
                <w:szCs w:val="20"/>
              </w:rPr>
              <w:tab/>
              <w:t>71</w:t>
            </w:r>
          </w:hyperlink>
        </w:p>
        <w:p w14:paraId="7B2884FD"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1ksv4uv">
            <w:r>
              <w:rPr>
                <w:rFonts w:ascii="Calibri" w:eastAsia="Calibri" w:hAnsi="Calibri" w:cs="Calibri"/>
                <w:b/>
                <w:smallCaps/>
                <w:color w:val="000000"/>
                <w:sz w:val="20"/>
                <w:szCs w:val="20"/>
              </w:rPr>
              <w:t xml:space="preserve">*(2017) Duarte, </w:t>
            </w:r>
          </w:hyperlink>
          <w:hyperlink w:anchor="_heading=h.1ksv4uv">
            <w:r>
              <w:rPr>
                <w:rFonts w:ascii="Calibri" w:eastAsia="Calibri" w:hAnsi="Calibri" w:cs="Calibri"/>
                <w:b/>
                <w:i/>
                <w:smallCaps/>
                <w:color w:val="000000"/>
                <w:sz w:val="20"/>
                <w:szCs w:val="20"/>
              </w:rPr>
              <w:t>Network Sovereignty: Building the Internet Across Indian Country</w:t>
            </w:r>
          </w:hyperlink>
          <w:hyperlink w:anchor="_heading=h.1ksv4uv">
            <w:r>
              <w:rPr>
                <w:rFonts w:ascii="Calibri" w:eastAsia="Calibri" w:hAnsi="Calibri" w:cs="Calibri"/>
                <w:b/>
                <w:smallCaps/>
                <w:color w:val="000000"/>
                <w:sz w:val="20"/>
                <w:szCs w:val="20"/>
              </w:rPr>
              <w:tab/>
              <w:t>74</w:t>
            </w:r>
          </w:hyperlink>
        </w:p>
        <w:p w14:paraId="5C82C8AE"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44sinio">
            <w:r>
              <w:rPr>
                <w:rFonts w:ascii="Calibri" w:eastAsia="Calibri" w:hAnsi="Calibri" w:cs="Calibri"/>
                <w:b/>
                <w:smallCaps/>
                <w:color w:val="000000"/>
                <w:sz w:val="20"/>
                <w:szCs w:val="20"/>
              </w:rPr>
              <w:t xml:space="preserve">*(2017) Rifkin, </w:t>
            </w:r>
          </w:hyperlink>
          <w:hyperlink w:anchor="_heading=h.44sinio">
            <w:r>
              <w:rPr>
                <w:rFonts w:ascii="Calibri" w:eastAsia="Calibri" w:hAnsi="Calibri" w:cs="Calibri"/>
                <w:b/>
                <w:i/>
                <w:smallCaps/>
                <w:color w:val="000000"/>
                <w:sz w:val="20"/>
                <w:szCs w:val="20"/>
              </w:rPr>
              <w:t>Beyond Settler Time</w:t>
            </w:r>
          </w:hyperlink>
          <w:hyperlink w:anchor="_heading=h.44sinio">
            <w:r>
              <w:rPr>
                <w:rFonts w:ascii="Calibri" w:eastAsia="Calibri" w:hAnsi="Calibri" w:cs="Calibri"/>
                <w:b/>
                <w:smallCaps/>
                <w:color w:val="000000"/>
                <w:sz w:val="20"/>
                <w:szCs w:val="20"/>
              </w:rPr>
              <w:tab/>
              <w:t>84</w:t>
            </w:r>
          </w:hyperlink>
        </w:p>
        <w:p w14:paraId="2059B545"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2jxsxqh">
            <w:r>
              <w:rPr>
                <w:rFonts w:ascii="Calibri" w:eastAsia="Calibri" w:hAnsi="Calibri" w:cs="Calibri"/>
                <w:b/>
                <w:smallCaps/>
                <w:color w:val="000000"/>
                <w:sz w:val="20"/>
                <w:szCs w:val="20"/>
              </w:rPr>
              <w:t xml:space="preserve">(2018) Asch, Borrows, Tully, </w:t>
            </w:r>
          </w:hyperlink>
          <w:hyperlink w:anchor="_heading=h.2jxsxqh">
            <w:r>
              <w:rPr>
                <w:rFonts w:ascii="Calibri" w:eastAsia="Calibri" w:hAnsi="Calibri" w:cs="Calibri"/>
                <w:b/>
                <w:i/>
                <w:smallCaps/>
                <w:color w:val="000000"/>
                <w:sz w:val="20"/>
                <w:szCs w:val="20"/>
              </w:rPr>
              <w:t>Resurgence and Reconciliation: Indigenous-Settler Relations and Earth Teachings</w:t>
            </w:r>
          </w:hyperlink>
          <w:hyperlink w:anchor="_heading=h.2jxsxqh">
            <w:r>
              <w:rPr>
                <w:rFonts w:ascii="Calibri" w:eastAsia="Calibri" w:hAnsi="Calibri" w:cs="Calibri"/>
                <w:b/>
                <w:smallCaps/>
                <w:color w:val="000000"/>
                <w:sz w:val="20"/>
                <w:szCs w:val="20"/>
              </w:rPr>
              <w:tab/>
              <w:t>95</w:t>
            </w:r>
          </w:hyperlink>
        </w:p>
        <w:p w14:paraId="2C8BEDC9"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3j2qqm3">
            <w:r>
              <w:rPr>
                <w:rFonts w:ascii="Calibri" w:eastAsia="Calibri" w:hAnsi="Calibri" w:cs="Calibri"/>
                <w:b/>
                <w:smallCaps/>
                <w:color w:val="000000"/>
                <w:sz w:val="20"/>
                <w:szCs w:val="20"/>
              </w:rPr>
              <w:t>*(2018) de Leeuw &amp; Hunt, “Unsettling Decolonizing Geographies”</w:t>
            </w:r>
            <w:r>
              <w:rPr>
                <w:rFonts w:ascii="Calibri" w:eastAsia="Calibri" w:hAnsi="Calibri" w:cs="Calibri"/>
                <w:b/>
                <w:smallCaps/>
                <w:color w:val="000000"/>
                <w:sz w:val="20"/>
                <w:szCs w:val="20"/>
              </w:rPr>
              <w:tab/>
              <w:t>104</w:t>
            </w:r>
          </w:hyperlink>
        </w:p>
        <w:p w14:paraId="0F2E0A12"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1y810tw">
            <w:r>
              <w:rPr>
                <w:rFonts w:ascii="Calibri" w:eastAsia="Calibri" w:hAnsi="Calibri" w:cs="Calibri"/>
                <w:b/>
                <w:smallCaps/>
                <w:color w:val="000000"/>
                <w:sz w:val="20"/>
                <w:szCs w:val="20"/>
              </w:rPr>
              <w:t>(2018) Earhart: “Can We Trust the University? Digital Humanities Collaborations with Historically Exploited Cultural Communities”</w:t>
            </w:r>
            <w:r>
              <w:rPr>
                <w:rFonts w:ascii="Calibri" w:eastAsia="Calibri" w:hAnsi="Calibri" w:cs="Calibri"/>
                <w:b/>
                <w:smallCaps/>
                <w:color w:val="000000"/>
                <w:sz w:val="20"/>
                <w:szCs w:val="20"/>
              </w:rPr>
              <w:tab/>
              <w:t>110</w:t>
            </w:r>
          </w:hyperlink>
        </w:p>
        <w:p w14:paraId="7445040A"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4i7ojhp">
            <w:r>
              <w:rPr>
                <w:rFonts w:ascii="Calibri" w:eastAsia="Calibri" w:hAnsi="Calibri" w:cs="Calibri"/>
                <w:b/>
                <w:smallCaps/>
                <w:color w:val="000000"/>
                <w:sz w:val="20"/>
                <w:szCs w:val="20"/>
              </w:rPr>
              <w:t xml:space="preserve">(2018) Huang &amp; Weaver-Hightower, </w:t>
            </w:r>
          </w:hyperlink>
          <w:hyperlink w:anchor="_heading=h.4i7ojhp">
            <w:r>
              <w:rPr>
                <w:rFonts w:ascii="Calibri" w:eastAsia="Calibri" w:hAnsi="Calibri" w:cs="Calibri"/>
                <w:b/>
                <w:i/>
                <w:smallCaps/>
                <w:color w:val="000000"/>
                <w:sz w:val="20"/>
                <w:szCs w:val="20"/>
              </w:rPr>
              <w:t>Archiving Settler Colonialism: Culture, Race and Space</w:t>
            </w:r>
          </w:hyperlink>
          <w:hyperlink w:anchor="_heading=h.4i7ojhp">
            <w:r>
              <w:rPr>
                <w:rFonts w:ascii="Calibri" w:eastAsia="Calibri" w:hAnsi="Calibri" w:cs="Calibri"/>
                <w:b/>
                <w:smallCaps/>
                <w:color w:val="000000"/>
                <w:sz w:val="20"/>
                <w:szCs w:val="20"/>
              </w:rPr>
              <w:tab/>
              <w:t>116</w:t>
            </w:r>
          </w:hyperlink>
        </w:p>
        <w:p w14:paraId="16B8F9FB"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2xcytpi">
            <w:r>
              <w:rPr>
                <w:rFonts w:ascii="Calibri" w:eastAsia="Calibri" w:hAnsi="Calibri" w:cs="Calibri"/>
                <w:b/>
                <w:smallCaps/>
                <w:color w:val="000000"/>
                <w:sz w:val="20"/>
                <w:szCs w:val="20"/>
              </w:rPr>
              <w:t>(2018) Risam, “Telling Untold Stories: Digital Textual Recovery Methods”</w:t>
            </w:r>
            <w:r>
              <w:rPr>
                <w:rFonts w:ascii="Calibri" w:eastAsia="Calibri" w:hAnsi="Calibri" w:cs="Calibri"/>
                <w:b/>
                <w:smallCaps/>
                <w:color w:val="000000"/>
                <w:sz w:val="20"/>
                <w:szCs w:val="20"/>
              </w:rPr>
              <w:tab/>
              <w:t>121</w:t>
            </w:r>
          </w:hyperlink>
        </w:p>
        <w:p w14:paraId="515ADFE2"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1ci93xb">
            <w:r>
              <w:rPr>
                <w:rFonts w:ascii="Calibri" w:eastAsia="Calibri" w:hAnsi="Calibri" w:cs="Calibri"/>
                <w:b/>
                <w:smallCaps/>
                <w:color w:val="000000"/>
                <w:sz w:val="20"/>
                <w:szCs w:val="20"/>
              </w:rPr>
              <w:t xml:space="preserve">*(2018) Smith, Tuck, &amp; Yang, </w:t>
            </w:r>
          </w:hyperlink>
          <w:hyperlink w:anchor="_heading=h.1ci93xb">
            <w:r>
              <w:rPr>
                <w:rFonts w:ascii="Calibri" w:eastAsia="Calibri" w:hAnsi="Calibri" w:cs="Calibri"/>
                <w:b/>
                <w:i/>
                <w:smallCaps/>
                <w:color w:val="000000"/>
                <w:sz w:val="20"/>
                <w:szCs w:val="20"/>
              </w:rPr>
              <w:t>Indigenous and Decolonizing Studies in Education: Mapping the Long View</w:t>
            </w:r>
          </w:hyperlink>
          <w:hyperlink w:anchor="_heading=h.1ci93xb">
            <w:r>
              <w:rPr>
                <w:rFonts w:ascii="Calibri" w:eastAsia="Calibri" w:hAnsi="Calibri" w:cs="Calibri"/>
                <w:b/>
                <w:smallCaps/>
                <w:color w:val="000000"/>
                <w:sz w:val="20"/>
                <w:szCs w:val="20"/>
              </w:rPr>
              <w:tab/>
              <w:t>123</w:t>
            </w:r>
          </w:hyperlink>
        </w:p>
        <w:p w14:paraId="264BC8CE"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3whwml4">
            <w:r>
              <w:rPr>
                <w:rFonts w:ascii="Calibri" w:eastAsia="Calibri" w:hAnsi="Calibri" w:cs="Calibri"/>
                <w:b/>
                <w:smallCaps/>
                <w:color w:val="000000"/>
                <w:sz w:val="20"/>
                <w:szCs w:val="20"/>
              </w:rPr>
              <w:t xml:space="preserve">(2018) Wemigwans, </w:t>
            </w:r>
          </w:hyperlink>
          <w:hyperlink w:anchor="_heading=h.3whwml4">
            <w:r>
              <w:rPr>
                <w:rFonts w:ascii="Calibri" w:eastAsia="Calibri" w:hAnsi="Calibri" w:cs="Calibri"/>
                <w:b/>
                <w:i/>
                <w:smallCaps/>
                <w:color w:val="000000"/>
                <w:sz w:val="20"/>
                <w:szCs w:val="20"/>
              </w:rPr>
              <w:t>A Digital Bundle</w:t>
            </w:r>
          </w:hyperlink>
          <w:hyperlink w:anchor="_heading=h.3whwml4">
            <w:r>
              <w:rPr>
                <w:rFonts w:ascii="Calibri" w:eastAsia="Calibri" w:hAnsi="Calibri" w:cs="Calibri"/>
                <w:b/>
                <w:smallCaps/>
                <w:color w:val="000000"/>
                <w:sz w:val="20"/>
                <w:szCs w:val="20"/>
              </w:rPr>
              <w:tab/>
              <w:t>130</w:t>
            </w:r>
          </w:hyperlink>
        </w:p>
        <w:p w14:paraId="4463494C"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2bn6wsx">
            <w:r>
              <w:rPr>
                <w:rFonts w:ascii="Calibri" w:eastAsia="Calibri" w:hAnsi="Calibri" w:cs="Calibri"/>
                <w:b/>
                <w:smallCaps/>
                <w:color w:val="000000"/>
                <w:sz w:val="20"/>
                <w:szCs w:val="20"/>
              </w:rPr>
              <w:t>*(2020) XemŦoltW̱ (Claxton) &amp; Price, “Whose Land Is It? Rethinking Sovereignty in British Columbia”</w:t>
            </w:r>
            <w:r>
              <w:rPr>
                <w:rFonts w:ascii="Calibri" w:eastAsia="Calibri" w:hAnsi="Calibri" w:cs="Calibri"/>
                <w:b/>
                <w:smallCaps/>
                <w:color w:val="000000"/>
                <w:sz w:val="20"/>
                <w:szCs w:val="20"/>
              </w:rPr>
              <w:tab/>
              <w:t>137</w:t>
            </w:r>
          </w:hyperlink>
        </w:p>
        <w:p w14:paraId="2FFFC6DF"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qsh70q">
            <w:r>
              <w:rPr>
                <w:rFonts w:ascii="Calibri" w:eastAsia="Calibri" w:hAnsi="Calibri" w:cs="Calibri"/>
                <w:b/>
                <w:smallCaps/>
                <w:color w:val="000000"/>
                <w:sz w:val="20"/>
                <w:szCs w:val="20"/>
              </w:rPr>
              <w:t>&gt;&gt;&gt; GEOSPATIAL Readings &lt;&lt;&lt;</w:t>
            </w:r>
            <w:r>
              <w:rPr>
                <w:rFonts w:ascii="Calibri" w:eastAsia="Calibri" w:hAnsi="Calibri" w:cs="Calibri"/>
                <w:b/>
                <w:smallCaps/>
                <w:color w:val="000000"/>
                <w:sz w:val="20"/>
                <w:szCs w:val="20"/>
              </w:rPr>
              <w:tab/>
              <w:t>143</w:t>
            </w:r>
          </w:hyperlink>
        </w:p>
        <w:p w14:paraId="027D1FD3"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3as4poj">
            <w:r>
              <w:rPr>
                <w:rFonts w:ascii="Calibri" w:eastAsia="Calibri" w:hAnsi="Calibri" w:cs="Calibri"/>
                <w:b/>
                <w:smallCaps/>
                <w:color w:val="000000"/>
                <w:sz w:val="20"/>
                <w:szCs w:val="20"/>
              </w:rPr>
              <w:t xml:space="preserve">(1987) Carter, </w:t>
            </w:r>
          </w:hyperlink>
          <w:hyperlink w:anchor="_heading=h.3as4poj">
            <w:r>
              <w:rPr>
                <w:rFonts w:ascii="Calibri" w:eastAsia="Calibri" w:hAnsi="Calibri" w:cs="Calibri"/>
                <w:b/>
                <w:i/>
                <w:smallCaps/>
                <w:color w:val="000000"/>
                <w:sz w:val="20"/>
                <w:szCs w:val="20"/>
              </w:rPr>
              <w:t>The Road to Botany Bay</w:t>
            </w:r>
          </w:hyperlink>
          <w:hyperlink w:anchor="_heading=h.3as4poj">
            <w:r>
              <w:rPr>
                <w:rFonts w:ascii="Calibri" w:eastAsia="Calibri" w:hAnsi="Calibri" w:cs="Calibri"/>
                <w:b/>
                <w:smallCaps/>
                <w:color w:val="000000"/>
                <w:sz w:val="20"/>
                <w:szCs w:val="20"/>
              </w:rPr>
              <w:tab/>
              <w:t>143</w:t>
            </w:r>
          </w:hyperlink>
        </w:p>
        <w:p w14:paraId="153A87B8"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1pxezwc">
            <w:r>
              <w:rPr>
                <w:rFonts w:ascii="Calibri" w:eastAsia="Calibri" w:hAnsi="Calibri" w:cs="Calibri"/>
                <w:b/>
                <w:smallCaps/>
                <w:color w:val="000000"/>
                <w:sz w:val="20"/>
                <w:szCs w:val="20"/>
              </w:rPr>
              <w:t>(1989) Harley, “Deconstructing the Map”</w:t>
            </w:r>
            <w:r>
              <w:rPr>
                <w:rFonts w:ascii="Calibri" w:eastAsia="Calibri" w:hAnsi="Calibri" w:cs="Calibri"/>
                <w:b/>
                <w:smallCaps/>
                <w:color w:val="000000"/>
                <w:sz w:val="20"/>
                <w:szCs w:val="20"/>
              </w:rPr>
              <w:tab/>
              <w:t>157</w:t>
            </w:r>
          </w:hyperlink>
        </w:p>
        <w:p w14:paraId="01755BD1"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49x2ik5">
            <w:r>
              <w:rPr>
                <w:rFonts w:ascii="Calibri" w:eastAsia="Calibri" w:hAnsi="Calibri" w:cs="Calibri"/>
                <w:b/>
                <w:smallCaps/>
                <w:color w:val="000000"/>
                <w:sz w:val="20"/>
                <w:szCs w:val="20"/>
              </w:rPr>
              <w:t xml:space="preserve">(1991) Monmonier, </w:t>
            </w:r>
          </w:hyperlink>
          <w:hyperlink w:anchor="_heading=h.49x2ik5">
            <w:r>
              <w:rPr>
                <w:rFonts w:ascii="Calibri" w:eastAsia="Calibri" w:hAnsi="Calibri" w:cs="Calibri"/>
                <w:b/>
                <w:i/>
                <w:smallCaps/>
                <w:color w:val="000000"/>
                <w:sz w:val="20"/>
                <w:szCs w:val="20"/>
              </w:rPr>
              <w:t>How to Lie with Maps</w:t>
            </w:r>
          </w:hyperlink>
          <w:hyperlink w:anchor="_heading=h.49x2ik5">
            <w:r>
              <w:rPr>
                <w:rFonts w:ascii="Calibri" w:eastAsia="Calibri" w:hAnsi="Calibri" w:cs="Calibri"/>
                <w:b/>
                <w:smallCaps/>
                <w:color w:val="000000"/>
                <w:sz w:val="20"/>
                <w:szCs w:val="20"/>
              </w:rPr>
              <w:tab/>
              <w:t>163</w:t>
            </w:r>
          </w:hyperlink>
        </w:p>
        <w:p w14:paraId="0E500D5D"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2p2csry">
            <w:r>
              <w:rPr>
                <w:rFonts w:ascii="Calibri" w:eastAsia="Calibri" w:hAnsi="Calibri" w:cs="Calibri"/>
                <w:b/>
                <w:smallCaps/>
                <w:color w:val="000000"/>
                <w:sz w:val="20"/>
                <w:szCs w:val="20"/>
              </w:rPr>
              <w:t>*(1998) Sparke, “A Map that Roared and an Original Atlas: Canada, Cartography, and the Narration of Nation”</w:t>
            </w:r>
            <w:r>
              <w:rPr>
                <w:rFonts w:ascii="Calibri" w:eastAsia="Calibri" w:hAnsi="Calibri" w:cs="Calibri"/>
                <w:b/>
                <w:smallCaps/>
                <w:color w:val="000000"/>
                <w:sz w:val="20"/>
                <w:szCs w:val="20"/>
              </w:rPr>
              <w:tab/>
              <w:t>169</w:t>
            </w:r>
          </w:hyperlink>
        </w:p>
        <w:p w14:paraId="301D5140"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147n2zr">
            <w:r>
              <w:rPr>
                <w:rFonts w:ascii="Calibri" w:eastAsia="Calibri" w:hAnsi="Calibri" w:cs="Calibri"/>
                <w:b/>
                <w:smallCaps/>
                <w:color w:val="000000"/>
                <w:sz w:val="20"/>
                <w:szCs w:val="20"/>
              </w:rPr>
              <w:t>(2008) Cosgrove, “Cultural Cartography: Maps and Mapping in Cultural Geography”</w:t>
            </w:r>
            <w:r>
              <w:rPr>
                <w:rFonts w:ascii="Calibri" w:eastAsia="Calibri" w:hAnsi="Calibri" w:cs="Calibri"/>
                <w:b/>
                <w:smallCaps/>
                <w:color w:val="000000"/>
                <w:sz w:val="20"/>
                <w:szCs w:val="20"/>
              </w:rPr>
              <w:tab/>
              <w:t>176</w:t>
            </w:r>
          </w:hyperlink>
        </w:p>
        <w:p w14:paraId="6FC2C686"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3o7alnk">
            <w:r>
              <w:rPr>
                <w:rFonts w:ascii="Calibri" w:eastAsia="Calibri" w:hAnsi="Calibri" w:cs="Calibri"/>
                <w:b/>
                <w:smallCaps/>
                <w:color w:val="000000"/>
                <w:sz w:val="20"/>
                <w:szCs w:val="20"/>
              </w:rPr>
              <w:t xml:space="preserve">(2008) Mogel &amp; Bhagat, eds., </w:t>
            </w:r>
          </w:hyperlink>
          <w:hyperlink w:anchor="_heading=h.3o7alnk">
            <w:r>
              <w:rPr>
                <w:rFonts w:ascii="Calibri" w:eastAsia="Calibri" w:hAnsi="Calibri" w:cs="Calibri"/>
                <w:b/>
                <w:i/>
                <w:smallCaps/>
                <w:color w:val="000000"/>
                <w:sz w:val="20"/>
                <w:szCs w:val="20"/>
              </w:rPr>
              <w:t>An Atlas of Radical Cartography</w:t>
            </w:r>
          </w:hyperlink>
          <w:hyperlink w:anchor="_heading=h.3o7alnk">
            <w:r>
              <w:rPr>
                <w:rFonts w:ascii="Calibri" w:eastAsia="Calibri" w:hAnsi="Calibri" w:cs="Calibri"/>
                <w:b/>
                <w:smallCaps/>
                <w:color w:val="000000"/>
                <w:sz w:val="20"/>
                <w:szCs w:val="20"/>
              </w:rPr>
              <w:tab/>
              <w:t>181</w:t>
            </w:r>
          </w:hyperlink>
        </w:p>
        <w:p w14:paraId="1E46E2B4"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23ckvvd">
            <w:r>
              <w:rPr>
                <w:rFonts w:ascii="Calibri" w:eastAsia="Calibri" w:hAnsi="Calibri" w:cs="Calibri"/>
                <w:b/>
                <w:smallCaps/>
                <w:color w:val="000000"/>
                <w:sz w:val="20"/>
                <w:szCs w:val="20"/>
              </w:rPr>
              <w:t>(2010) Rose-Redwood, et. al., “Geographies of Toponymic Inscription: New Directions in Critical Place-Name Studies”</w:t>
            </w:r>
            <w:r>
              <w:rPr>
                <w:rFonts w:ascii="Calibri" w:eastAsia="Calibri" w:hAnsi="Calibri" w:cs="Calibri"/>
                <w:b/>
                <w:smallCaps/>
                <w:color w:val="000000"/>
                <w:sz w:val="20"/>
                <w:szCs w:val="20"/>
              </w:rPr>
              <w:tab/>
              <w:t>188</w:t>
            </w:r>
          </w:hyperlink>
        </w:p>
        <w:p w14:paraId="2073D15C"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ihv636">
            <w:r>
              <w:rPr>
                <w:rFonts w:ascii="Calibri" w:eastAsia="Calibri" w:hAnsi="Calibri" w:cs="Calibri"/>
                <w:b/>
                <w:smallCaps/>
                <w:color w:val="000000"/>
                <w:sz w:val="20"/>
                <w:szCs w:val="20"/>
              </w:rPr>
              <w:t>(2011) Berg, “Banal Naming, Neoliberalism, and Landscapes of Dispossession”</w:t>
            </w:r>
            <w:r>
              <w:rPr>
                <w:rFonts w:ascii="Calibri" w:eastAsia="Calibri" w:hAnsi="Calibri" w:cs="Calibri"/>
                <w:b/>
                <w:smallCaps/>
                <w:color w:val="000000"/>
                <w:sz w:val="20"/>
                <w:szCs w:val="20"/>
              </w:rPr>
              <w:tab/>
              <w:t>192</w:t>
            </w:r>
          </w:hyperlink>
        </w:p>
        <w:p w14:paraId="16337238"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32hioqz">
            <w:r>
              <w:rPr>
                <w:rFonts w:ascii="Calibri" w:eastAsia="Calibri" w:hAnsi="Calibri" w:cs="Calibri"/>
                <w:b/>
                <w:smallCaps/>
                <w:color w:val="000000"/>
                <w:sz w:val="20"/>
                <w:szCs w:val="20"/>
              </w:rPr>
              <w:t>(2011) Rose-Redwood, “Rethinking the Agenda of Political Toponymy”</w:t>
            </w:r>
            <w:r>
              <w:rPr>
                <w:rFonts w:ascii="Calibri" w:eastAsia="Calibri" w:hAnsi="Calibri" w:cs="Calibri"/>
                <w:b/>
                <w:smallCaps/>
                <w:color w:val="000000"/>
                <w:sz w:val="20"/>
                <w:szCs w:val="20"/>
              </w:rPr>
              <w:tab/>
              <w:t>195</w:t>
            </w:r>
          </w:hyperlink>
        </w:p>
        <w:p w14:paraId="4EB17FDF"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1hmsyys">
            <w:r>
              <w:rPr>
                <w:rFonts w:ascii="Calibri" w:eastAsia="Calibri" w:hAnsi="Calibri" w:cs="Calibri"/>
                <w:b/>
                <w:smallCaps/>
                <w:color w:val="000000"/>
                <w:sz w:val="20"/>
                <w:szCs w:val="20"/>
              </w:rPr>
              <w:t>(2105) Murphyao &amp; Black: “Unsettling Settler Belonging: (Re)naming and Territory Making in the Pacific Northwest”</w:t>
            </w:r>
            <w:r>
              <w:rPr>
                <w:rFonts w:ascii="Calibri" w:eastAsia="Calibri" w:hAnsi="Calibri" w:cs="Calibri"/>
                <w:b/>
                <w:smallCaps/>
                <w:color w:val="000000"/>
                <w:sz w:val="20"/>
                <w:szCs w:val="20"/>
              </w:rPr>
              <w:tab/>
              <w:t>198</w:t>
            </w:r>
          </w:hyperlink>
        </w:p>
        <w:p w14:paraId="0A836A54"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41mghml">
            <w:r>
              <w:rPr>
                <w:rFonts w:ascii="Calibri" w:eastAsia="Calibri" w:hAnsi="Calibri" w:cs="Calibri"/>
                <w:b/>
                <w:smallCaps/>
                <w:color w:val="000000"/>
                <w:sz w:val="20"/>
                <w:szCs w:val="20"/>
              </w:rPr>
              <w:t>(2015) Rose-Redwood, “Introduction: The Limits to Deconstructing the Map”</w:t>
            </w:r>
            <w:r>
              <w:rPr>
                <w:rFonts w:ascii="Calibri" w:eastAsia="Calibri" w:hAnsi="Calibri" w:cs="Calibri"/>
                <w:b/>
                <w:smallCaps/>
                <w:color w:val="000000"/>
                <w:sz w:val="20"/>
                <w:szCs w:val="20"/>
              </w:rPr>
              <w:tab/>
              <w:t>202</w:t>
            </w:r>
          </w:hyperlink>
        </w:p>
        <w:p w14:paraId="6E92C399"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2grqrue">
            <w:r>
              <w:rPr>
                <w:rFonts w:ascii="Calibri" w:eastAsia="Calibri" w:hAnsi="Calibri" w:cs="Calibri"/>
                <w:b/>
                <w:smallCaps/>
                <w:color w:val="000000"/>
                <w:sz w:val="20"/>
                <w:szCs w:val="20"/>
              </w:rPr>
              <w:t>*(2015) Rose-Redwood &amp; Tucker, “Decolonizing the Map? Toponymic Politics and the Rescaling of the Salish Sea”</w:t>
            </w:r>
            <w:r>
              <w:rPr>
                <w:rFonts w:ascii="Calibri" w:eastAsia="Calibri" w:hAnsi="Calibri" w:cs="Calibri"/>
                <w:b/>
                <w:smallCaps/>
                <w:color w:val="000000"/>
                <w:sz w:val="20"/>
                <w:szCs w:val="20"/>
              </w:rPr>
              <w:tab/>
              <w:t>206</w:t>
            </w:r>
          </w:hyperlink>
        </w:p>
        <w:p w14:paraId="0F66AF6F"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vx1227">
            <w:r>
              <w:rPr>
                <w:rFonts w:ascii="Calibri" w:eastAsia="Calibri" w:hAnsi="Calibri" w:cs="Calibri"/>
                <w:b/>
                <w:smallCaps/>
                <w:color w:val="000000"/>
                <w:sz w:val="20"/>
                <w:szCs w:val="20"/>
              </w:rPr>
              <w:t>(2016) Rose-Redwood, “Reclaim, Rename, Reoccupy”: Decolonizing Place and the Reclaiming of PKOLS</w:t>
            </w:r>
            <w:r>
              <w:rPr>
                <w:rFonts w:ascii="Calibri" w:eastAsia="Calibri" w:hAnsi="Calibri" w:cs="Calibri"/>
                <w:b/>
                <w:smallCaps/>
                <w:color w:val="000000"/>
                <w:sz w:val="20"/>
                <w:szCs w:val="20"/>
              </w:rPr>
              <w:tab/>
              <w:t>212</w:t>
            </w:r>
          </w:hyperlink>
        </w:p>
        <w:p w14:paraId="7164E98C"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3fwokq0">
            <w:r>
              <w:rPr>
                <w:rFonts w:ascii="Calibri" w:eastAsia="Calibri" w:hAnsi="Calibri" w:cs="Calibri"/>
                <w:b/>
                <w:smallCaps/>
                <w:color w:val="000000"/>
                <w:sz w:val="20"/>
                <w:szCs w:val="20"/>
              </w:rPr>
              <w:t>(2018) Engel, Deep Mapping: Space, Place, and Narrative as Urban Interface</w:t>
            </w:r>
            <w:r>
              <w:rPr>
                <w:rFonts w:ascii="Calibri" w:eastAsia="Calibri" w:hAnsi="Calibri" w:cs="Calibri"/>
                <w:b/>
                <w:smallCaps/>
                <w:color w:val="000000"/>
                <w:sz w:val="20"/>
                <w:szCs w:val="20"/>
              </w:rPr>
              <w:tab/>
              <w:t>217</w:t>
            </w:r>
          </w:hyperlink>
        </w:p>
        <w:p w14:paraId="476090DA"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1v1yuxt">
            <w:r>
              <w:rPr>
                <w:rFonts w:ascii="Calibri" w:eastAsia="Calibri" w:hAnsi="Calibri" w:cs="Calibri"/>
                <w:b/>
                <w:smallCaps/>
                <w:color w:val="000000"/>
                <w:sz w:val="20"/>
                <w:szCs w:val="20"/>
              </w:rPr>
              <w:t xml:space="preserve">(2018) Kollektiv Orangotango+, </w:t>
            </w:r>
          </w:hyperlink>
          <w:hyperlink w:anchor="_heading=h.1v1yuxt">
            <w:r>
              <w:rPr>
                <w:rFonts w:ascii="Calibri" w:eastAsia="Calibri" w:hAnsi="Calibri" w:cs="Calibri"/>
                <w:b/>
                <w:i/>
                <w:smallCaps/>
                <w:color w:val="000000"/>
                <w:sz w:val="20"/>
                <w:szCs w:val="20"/>
              </w:rPr>
              <w:t>This is Not an Atlas</w:t>
            </w:r>
          </w:hyperlink>
          <w:hyperlink w:anchor="_heading=h.1v1yuxt">
            <w:r>
              <w:rPr>
                <w:rFonts w:ascii="Calibri" w:eastAsia="Calibri" w:hAnsi="Calibri" w:cs="Calibri"/>
                <w:b/>
                <w:smallCaps/>
                <w:color w:val="000000"/>
                <w:sz w:val="20"/>
                <w:szCs w:val="20"/>
              </w:rPr>
              <w:tab/>
              <w:t>221</w:t>
            </w:r>
          </w:hyperlink>
        </w:p>
        <w:p w14:paraId="5EA1D1BC"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4f1mdlm">
            <w:r>
              <w:rPr>
                <w:rFonts w:ascii="Calibri" w:eastAsia="Calibri" w:hAnsi="Calibri" w:cs="Calibri"/>
                <w:b/>
                <w:smallCaps/>
                <w:color w:val="000000"/>
                <w:sz w:val="20"/>
                <w:szCs w:val="20"/>
              </w:rPr>
              <w:t xml:space="preserve">(2019) Eckstein &amp; Schwarz, “The Making of Tupaia’s Map: A Story of the Extent and Mastery of Polynesian Navigation, Competing Systems of Wayfinding on James Cook’s </w:t>
            </w:r>
          </w:hyperlink>
          <w:hyperlink w:anchor="_heading=h.4f1mdlm">
            <w:r>
              <w:rPr>
                <w:rFonts w:ascii="Calibri" w:eastAsia="Calibri" w:hAnsi="Calibri" w:cs="Calibri"/>
                <w:b/>
                <w:i/>
                <w:smallCaps/>
                <w:color w:val="000000"/>
                <w:sz w:val="20"/>
                <w:szCs w:val="20"/>
              </w:rPr>
              <w:t>Endeavour</w:t>
            </w:r>
          </w:hyperlink>
          <w:hyperlink w:anchor="_heading=h.4f1mdlm">
            <w:r>
              <w:rPr>
                <w:rFonts w:ascii="Calibri" w:eastAsia="Calibri" w:hAnsi="Calibri" w:cs="Calibri"/>
                <w:b/>
                <w:smallCaps/>
                <w:color w:val="000000"/>
                <w:sz w:val="20"/>
                <w:szCs w:val="20"/>
              </w:rPr>
              <w:t>, and the Invention of an Ingenious Cartographic System”</w:t>
            </w:r>
            <w:r>
              <w:rPr>
                <w:rFonts w:ascii="Calibri" w:eastAsia="Calibri" w:hAnsi="Calibri" w:cs="Calibri"/>
                <w:b/>
                <w:smallCaps/>
                <w:color w:val="000000"/>
                <w:sz w:val="20"/>
                <w:szCs w:val="20"/>
              </w:rPr>
              <w:tab/>
              <w:t>226</w:t>
            </w:r>
          </w:hyperlink>
        </w:p>
        <w:p w14:paraId="00F811A3"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2u6wntf">
            <w:r>
              <w:rPr>
                <w:rFonts w:ascii="Calibri" w:eastAsia="Calibri" w:hAnsi="Calibri" w:cs="Calibri"/>
                <w:b/>
                <w:smallCaps/>
                <w:color w:val="000000"/>
                <w:sz w:val="20"/>
                <w:szCs w:val="20"/>
              </w:rPr>
              <w:t>&gt;&gt;&gt; HISTORY Readings &lt;&lt;&lt;</w:t>
            </w:r>
            <w:r>
              <w:rPr>
                <w:rFonts w:ascii="Calibri" w:eastAsia="Calibri" w:hAnsi="Calibri" w:cs="Calibri"/>
                <w:b/>
                <w:smallCaps/>
                <w:color w:val="000000"/>
                <w:sz w:val="20"/>
                <w:szCs w:val="20"/>
              </w:rPr>
              <w:tab/>
              <w:t>229</w:t>
            </w:r>
          </w:hyperlink>
        </w:p>
        <w:p w14:paraId="47C942C0"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19c6y18">
            <w:r>
              <w:rPr>
                <w:rFonts w:ascii="Calibri" w:eastAsia="Calibri" w:hAnsi="Calibri" w:cs="Calibri"/>
                <w:b/>
                <w:smallCaps/>
                <w:color w:val="000000"/>
                <w:sz w:val="20"/>
                <w:szCs w:val="20"/>
              </w:rPr>
              <w:t xml:space="preserve">(2000) Clayton, </w:t>
            </w:r>
          </w:hyperlink>
          <w:hyperlink w:anchor="_heading=h.19c6y18">
            <w:r>
              <w:rPr>
                <w:rFonts w:ascii="Calibri" w:eastAsia="Calibri" w:hAnsi="Calibri" w:cs="Calibri"/>
                <w:b/>
                <w:i/>
                <w:smallCaps/>
                <w:color w:val="000000"/>
                <w:sz w:val="20"/>
                <w:szCs w:val="20"/>
              </w:rPr>
              <w:t>Islands of Truth: The Imperial Fashioning of Vancouver Island</w:t>
            </w:r>
          </w:hyperlink>
          <w:hyperlink w:anchor="_heading=h.19c6y18">
            <w:r>
              <w:rPr>
                <w:rFonts w:ascii="Calibri" w:eastAsia="Calibri" w:hAnsi="Calibri" w:cs="Calibri"/>
                <w:b/>
                <w:smallCaps/>
                <w:color w:val="000000"/>
                <w:sz w:val="20"/>
                <w:szCs w:val="20"/>
              </w:rPr>
              <w:tab/>
              <w:t>229</w:t>
            </w:r>
          </w:hyperlink>
        </w:p>
        <w:p w14:paraId="0F12A3DC"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28h4qwu">
            <w:r>
              <w:rPr>
                <w:rFonts w:ascii="Calibri" w:eastAsia="Calibri" w:hAnsi="Calibri" w:cs="Calibri"/>
                <w:b/>
                <w:smallCaps/>
                <w:color w:val="000000"/>
                <w:sz w:val="20"/>
                <w:szCs w:val="20"/>
              </w:rPr>
              <w:t>(2002) Harris, Making Native Space: Colonialism, Resistance, and Reserves in British Columbia</w:t>
            </w:r>
            <w:r>
              <w:rPr>
                <w:rFonts w:ascii="Calibri" w:eastAsia="Calibri" w:hAnsi="Calibri" w:cs="Calibri"/>
                <w:b/>
                <w:smallCaps/>
                <w:color w:val="000000"/>
                <w:sz w:val="20"/>
                <w:szCs w:val="20"/>
              </w:rPr>
              <w:tab/>
              <w:t>235</w:t>
            </w:r>
          </w:hyperlink>
        </w:p>
        <w:p w14:paraId="5924E146"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nmf14n">
            <w:r>
              <w:rPr>
                <w:rFonts w:ascii="Calibri" w:eastAsia="Calibri" w:hAnsi="Calibri" w:cs="Calibri"/>
                <w:b/>
                <w:smallCaps/>
                <w:color w:val="000000"/>
                <w:sz w:val="20"/>
                <w:szCs w:val="20"/>
              </w:rPr>
              <w:t xml:space="preserve">(2008) Lutz, </w:t>
            </w:r>
          </w:hyperlink>
          <w:hyperlink w:anchor="_heading=h.nmf14n">
            <w:r>
              <w:rPr>
                <w:rFonts w:ascii="Calibri" w:eastAsia="Calibri" w:hAnsi="Calibri" w:cs="Calibri"/>
                <w:b/>
                <w:i/>
                <w:smallCaps/>
                <w:color w:val="000000"/>
                <w:sz w:val="20"/>
                <w:szCs w:val="20"/>
              </w:rPr>
              <w:t>Makúk: A New History of Aboriginal-White Relations</w:t>
            </w:r>
          </w:hyperlink>
          <w:hyperlink w:anchor="_heading=h.nmf14n">
            <w:r>
              <w:rPr>
                <w:rFonts w:ascii="Calibri" w:eastAsia="Calibri" w:hAnsi="Calibri" w:cs="Calibri"/>
                <w:b/>
                <w:smallCaps/>
                <w:color w:val="000000"/>
                <w:sz w:val="20"/>
                <w:szCs w:val="20"/>
              </w:rPr>
              <w:tab/>
              <w:t>236</w:t>
            </w:r>
          </w:hyperlink>
        </w:p>
        <w:p w14:paraId="76E316AA"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37m2jsg">
            <w:r>
              <w:rPr>
                <w:rFonts w:ascii="Calibri" w:eastAsia="Calibri" w:hAnsi="Calibri" w:cs="Calibri"/>
                <w:b/>
                <w:smallCaps/>
                <w:color w:val="000000"/>
                <w:sz w:val="20"/>
                <w:szCs w:val="20"/>
              </w:rPr>
              <w:t xml:space="preserve">(2013) Layland, </w:t>
            </w:r>
          </w:hyperlink>
          <w:hyperlink w:anchor="_heading=h.37m2jsg">
            <w:r>
              <w:rPr>
                <w:rFonts w:ascii="Calibri" w:eastAsia="Calibri" w:hAnsi="Calibri" w:cs="Calibri"/>
                <w:b/>
                <w:i/>
                <w:smallCaps/>
                <w:color w:val="000000"/>
                <w:sz w:val="20"/>
                <w:szCs w:val="20"/>
              </w:rPr>
              <w:t>The Land of Heart’s Delight: Early Maps of Vancouver Island</w:t>
            </w:r>
          </w:hyperlink>
          <w:hyperlink w:anchor="_heading=h.37m2jsg">
            <w:r>
              <w:rPr>
                <w:rFonts w:ascii="Calibri" w:eastAsia="Calibri" w:hAnsi="Calibri" w:cs="Calibri"/>
                <w:b/>
                <w:smallCaps/>
                <w:color w:val="000000"/>
                <w:sz w:val="20"/>
                <w:szCs w:val="20"/>
              </w:rPr>
              <w:tab/>
              <w:t>246</w:t>
            </w:r>
          </w:hyperlink>
        </w:p>
        <w:p w14:paraId="00E9689B"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46r0co2">
            <w:r>
              <w:rPr>
                <w:rFonts w:ascii="Calibri" w:eastAsia="Calibri" w:hAnsi="Calibri" w:cs="Calibri"/>
                <w:b/>
                <w:smallCaps/>
                <w:color w:val="000000"/>
                <w:sz w:val="20"/>
                <w:szCs w:val="20"/>
              </w:rPr>
              <w:t>Bibliography</w:t>
            </w:r>
            <w:r>
              <w:rPr>
                <w:rFonts w:ascii="Calibri" w:eastAsia="Calibri" w:hAnsi="Calibri" w:cs="Calibri"/>
                <w:b/>
                <w:smallCaps/>
                <w:color w:val="000000"/>
                <w:sz w:val="20"/>
                <w:szCs w:val="20"/>
              </w:rPr>
              <w:tab/>
              <w:t>253</w:t>
            </w:r>
          </w:hyperlink>
        </w:p>
        <w:p w14:paraId="155EA48E" w14:textId="77777777" w:rsidR="00076776" w:rsidRDefault="00076776">
          <w:pPr>
            <w:pBdr>
              <w:top w:val="nil"/>
              <w:left w:val="nil"/>
              <w:bottom w:val="nil"/>
              <w:right w:val="nil"/>
              <w:between w:val="nil"/>
            </w:pBdr>
            <w:tabs>
              <w:tab w:val="right" w:pos="9350"/>
            </w:tabs>
            <w:spacing w:before="120" w:after="120"/>
            <w:rPr>
              <w:rFonts w:ascii="Calibri" w:eastAsia="Calibri" w:hAnsi="Calibri" w:cs="Calibri"/>
              <w:b/>
              <w:smallCaps/>
              <w:color w:val="000000"/>
              <w:sz w:val="20"/>
              <w:szCs w:val="20"/>
            </w:rPr>
          </w:pPr>
          <w:hyperlink w:anchor="_heading=h.2lwamvv">
            <w:r>
              <w:rPr>
                <w:rFonts w:ascii="Calibri" w:eastAsia="Calibri" w:hAnsi="Calibri" w:cs="Calibri"/>
                <w:b/>
                <w:smallCaps/>
                <w:color w:val="000000"/>
                <w:sz w:val="20"/>
                <w:szCs w:val="20"/>
              </w:rPr>
              <w:t>&gt;&gt;&gt; Backmatter &lt;&lt;&lt;</w:t>
            </w:r>
            <w:r>
              <w:rPr>
                <w:rFonts w:ascii="Calibri" w:eastAsia="Calibri" w:hAnsi="Calibri" w:cs="Calibri"/>
                <w:b/>
                <w:smallCaps/>
                <w:color w:val="000000"/>
                <w:sz w:val="20"/>
                <w:szCs w:val="20"/>
              </w:rPr>
              <w:tab/>
              <w:t>258</w:t>
            </w:r>
          </w:hyperlink>
          <w:r>
            <w:fldChar w:fldCharType="end"/>
          </w:r>
        </w:p>
      </w:sdtContent>
    </w:sdt>
    <w:p w14:paraId="6ADB8F6F" w14:textId="77777777" w:rsidR="00076776" w:rsidRDefault="00076776"/>
    <w:p w14:paraId="041A9558" w14:textId="77777777" w:rsidR="00076776" w:rsidRDefault="00000000">
      <w:pPr>
        <w:pStyle w:val="Heading1"/>
        <w:rPr>
          <w:color w:val="262626"/>
        </w:rPr>
      </w:pPr>
      <w:bookmarkStart w:id="0" w:name="_heading=h.gjdgxs" w:colFirst="0" w:colLast="0"/>
      <w:bookmarkEnd w:id="0"/>
      <w:r>
        <w:rPr>
          <w:color w:val="262626"/>
        </w:rPr>
        <w:t>Introduction</w:t>
      </w:r>
    </w:p>
    <w:p w14:paraId="0ADFFE01" w14:textId="77777777" w:rsidR="00076776" w:rsidRDefault="00000000">
      <w:pPr>
        <w:ind w:firstLine="720"/>
      </w:pPr>
      <w:r>
        <w:t xml:space="preserve">My Major Field (MF) notes emphasized the </w:t>
      </w:r>
      <w:r>
        <w:rPr>
          <w:i/>
        </w:rPr>
        <w:t>ethics of content</w:t>
      </w:r>
      <w:r>
        <w:t xml:space="preserve">, which remains a guiding interest, here. The MF readings found me less concerned with the history of texts than with the history, the </w:t>
      </w:r>
      <w:r>
        <w:rPr>
          <w:i/>
        </w:rPr>
        <w:t>narrativity</w:t>
      </w:r>
      <w:r>
        <w:t xml:space="preserve">, of what impels Western minds and institutions to think of them as important. I would now say the same about content, generally, which includes digital and analogue maps. So, in addition to texts, I am looking at maps and conceptions of space and place through a DH and digital-archive lens. I want to understand what maps can reveal about the “settler psyche”—a broadening of the term “settler brain”—in a BC and Salish Sea context, particularly. I am still examining “technology,” but I wonder about how to characterize maps as a </w:t>
      </w:r>
      <w:r>
        <w:rPr>
          <w:i/>
        </w:rPr>
        <w:t>technology</w:t>
      </w:r>
      <w:r>
        <w:t xml:space="preserve">, in analog and digital contexts. Maps seem to me </w:t>
      </w:r>
      <w:proofErr w:type="spellStart"/>
      <w:r>
        <w:t>technē</w:t>
      </w:r>
      <w:proofErr w:type="spellEnd"/>
      <w:r>
        <w:t xml:space="preserve"> incarnate, in that they are things </w:t>
      </w:r>
      <w:r>
        <w:rPr>
          <w:i/>
        </w:rPr>
        <w:t>made</w:t>
      </w:r>
      <w:r>
        <w:t xml:space="preserve"> in order to learn </w:t>
      </w:r>
      <w:r>
        <w:rPr>
          <w:i/>
        </w:rPr>
        <w:t>how</w:t>
      </w:r>
      <w:r>
        <w:t xml:space="preserve"> to </w:t>
      </w:r>
      <w:r>
        <w:rPr>
          <w:i/>
        </w:rPr>
        <w:t>do</w:t>
      </w:r>
      <w:r>
        <w:t xml:space="preserve">, in the geospatial sense—it is early days for this idea, but the </w:t>
      </w:r>
      <w:proofErr w:type="spellStart"/>
      <w:r>
        <w:t>technē</w:t>
      </w:r>
      <w:proofErr w:type="spellEnd"/>
      <w:r>
        <w:t xml:space="preserve"> of books, instruction manuals notwithstanding, is things made to convey knowledges and </w:t>
      </w:r>
      <w:proofErr w:type="spellStart"/>
      <w:r>
        <w:t>phenomenologies</w:t>
      </w:r>
      <w:proofErr w:type="spellEnd"/>
      <w:r>
        <w:t xml:space="preserve">; they are made to share human experiences. While maps also convey these things, they are tools of navigation, from the allegorical, psycho-spiritual territories in some versions of Dante’s </w:t>
      </w:r>
      <w:hyperlink r:id="rId8">
        <w:r w:rsidR="00076776">
          <w:rPr>
            <w:i/>
            <w:color w:val="0563C1"/>
            <w:u w:val="single"/>
          </w:rPr>
          <w:t>Divine Comedy</w:t>
        </w:r>
      </w:hyperlink>
      <w:r>
        <w:t xml:space="preserve"> to the practical and essential marine maps produced by </w:t>
      </w:r>
      <w:hyperlink r:id="rId9" w:anchor="boating@6&amp;key=%7BiqfHjy%7DoV">
        <w:r w:rsidR="00076776">
          <w:rPr>
            <w:color w:val="0563C1"/>
            <w:u w:val="single"/>
          </w:rPr>
          <w:t>Navionics</w:t>
        </w:r>
      </w:hyperlink>
      <w:r>
        <w:t xml:space="preserve">. Maps offer a way to better understand cultural conceptions of space and place and what it means to “belong” to a “place.” In the era of reconciliation, what I would say is the early days of settlers’ attempt at this, it is important to remember that maps are tools of dominance, </w:t>
      </w:r>
      <w:r>
        <w:lastRenderedPageBreak/>
        <w:t xml:space="preserve">conquest, and ownership: they transmute arbitrary, settler conceptions of “territory” into realities that ultimately affect bodies, through laws, borders, and property “rights.” I believe that maps can play a key role in unpacking the settler psyches that seem to rely upon them for reasons of, among other things, ontological certainty. </w:t>
      </w:r>
    </w:p>
    <w:p w14:paraId="4E202635" w14:textId="77777777" w:rsidR="00076776" w:rsidRDefault="00076776">
      <w:pPr>
        <w:ind w:firstLine="720"/>
      </w:pPr>
    </w:p>
    <w:p w14:paraId="4266A1C9" w14:textId="77777777" w:rsidR="00076776" w:rsidRDefault="00000000">
      <w:pPr>
        <w:ind w:firstLine="720"/>
      </w:pPr>
      <w:r>
        <w:t xml:space="preserve">Here is a </w:t>
      </w:r>
      <w:r>
        <w:rPr>
          <w:b/>
          <w:highlight w:val="yellow"/>
        </w:rPr>
        <w:t>first draft of my Focused Field Statement</w:t>
      </w:r>
      <w:r>
        <w:t>, with a working title of “Digital Scholarly Practice at the Intersection of ‘Decolonization,’ Historiography, and Space and Place.”</w:t>
      </w:r>
    </w:p>
    <w:p w14:paraId="76597063" w14:textId="77777777" w:rsidR="00076776" w:rsidRDefault="00076776">
      <w:pPr>
        <w:ind w:firstLine="720"/>
      </w:pPr>
    </w:p>
    <w:p w14:paraId="60397408" w14:textId="77777777" w:rsidR="00076776" w:rsidRDefault="00000000">
      <w:pPr>
        <w:ind w:left="720" w:firstLine="720"/>
      </w:pPr>
      <w:r>
        <w:t xml:space="preserve">My focused field reading list is interdisciplinary. I will investigate intersections of DH practices and guidelines, Indigenous methodologies, space and place, maps, technology, narrativization, historiography, and settler approaches to “decolonization.” My readings will thematically interrelate, but can be seen as distinct compass points of exploration: (1) </w:t>
      </w:r>
      <w:r>
        <w:rPr>
          <w:b/>
        </w:rPr>
        <w:t>DH and related technologies</w:t>
      </w:r>
      <w:r>
        <w:t xml:space="preserve">, such as content-management systems, XML encoding, and digital-content delivery (online archives and websites), and GIS; (2) </w:t>
      </w:r>
      <w:r>
        <w:rPr>
          <w:b/>
        </w:rPr>
        <w:t>ethics of practice</w:t>
      </w:r>
      <w:r>
        <w:t xml:space="preserve">, which includes the politics of the TEI guidelines, settler approaches to information sharing and gathering in and about Indigenous Peoples and communities, approaches to the incorporation of Indigenous perspectives in traditionally settler bureaucracies and organizations, and social justice work, as read through feminism, gender studies, BIPOC, and equity and human rights perspectives and scholarship; (3) </w:t>
      </w:r>
      <w:r>
        <w:rPr>
          <w:b/>
        </w:rPr>
        <w:t>space and place</w:t>
      </w:r>
      <w:r>
        <w:t>, which includes</w:t>
      </w:r>
      <w:r>
        <w:rPr>
          <w:b/>
        </w:rPr>
        <w:t xml:space="preserve"> </w:t>
      </w:r>
      <w:r>
        <w:t xml:space="preserve">concepts and politics of space and place, land “ownership,” toponyms, topophilia, borders, epistemologies and </w:t>
      </w:r>
      <w:proofErr w:type="spellStart"/>
      <w:r>
        <w:t>phenomenologies</w:t>
      </w:r>
      <w:proofErr w:type="spellEnd"/>
      <w:r>
        <w:t xml:space="preserve"> of maps; (4) </w:t>
      </w:r>
      <w:r>
        <w:rPr>
          <w:b/>
        </w:rPr>
        <w:t>Indigenous and settler histories</w:t>
      </w:r>
      <w:r>
        <w:t>, historiographies, and narrativizations specific to the Salish Sea and British Columbia.</w:t>
      </w:r>
    </w:p>
    <w:p w14:paraId="172550AB" w14:textId="77777777" w:rsidR="00076776" w:rsidRDefault="00000000">
      <w:pPr>
        <w:ind w:left="720" w:firstLine="720"/>
      </w:pPr>
      <w:r>
        <w:t xml:space="preserve">I am particularly interested in points of resistance and alliance, in settler institutions, on the incorporation of “decolonization” practices, and what these points reveal about what could be characterized as a “settler psyche” in DH practice. The overall goal of my current and future work is to understand better settler constructions of “Indigeneity” and “decolonization,” and challenge the ways in which seemingly neutral mediums (maps, archives, and websites) are anything but. To this end, I am inspired in part by Ellen Noble’s approach: “I consider my work a practical project, the goal of which is to eliminate social injustice and change the ways in which people are oppressed with the aid of allegedly neutral technologies” (20). My readings will offer critical counterpoints, or useful grist, for me to examine and critique settler-centric techno-determinism in DH, and the ways in which the settler psyche, even when well-intentioned, runs risk of reification and entrenchment of colonial and imperialist values. I am interested, too, as to the ways in which this status quo can be challenged, systemically and practically, through the development of revised best practices and community collaborations. </w:t>
      </w:r>
    </w:p>
    <w:p w14:paraId="0D9469F8" w14:textId="77777777" w:rsidR="00076776" w:rsidRDefault="00076776"/>
    <w:p w14:paraId="11B20B44" w14:textId="77777777" w:rsidR="00076776" w:rsidRDefault="00000000">
      <w:r>
        <w:t xml:space="preserve">In a nutshell, I am interested in the ethics, politics, and technologies of geospatial content and practices in Digital Humanities and, where applicable, Humanities contexts. </w:t>
      </w:r>
    </w:p>
    <w:p w14:paraId="7666DDB5" w14:textId="77777777" w:rsidR="00076776" w:rsidRDefault="00076776"/>
    <w:p w14:paraId="635456D2" w14:textId="77777777" w:rsidR="00076776" w:rsidRDefault="00000000">
      <w:pPr>
        <w:pStyle w:val="Heading4"/>
      </w:pPr>
      <w:r>
        <w:t>Focused Field rationale</w:t>
      </w:r>
    </w:p>
    <w:p w14:paraId="3593B00C" w14:textId="77777777" w:rsidR="00076776" w:rsidRDefault="00000000">
      <w:r>
        <w:t xml:space="preserve">Here is </w:t>
      </w:r>
      <w:r>
        <w:rPr>
          <w:b/>
          <w:highlight w:val="yellow"/>
        </w:rPr>
        <w:t>the revised and submitted Focused Field rationale</w:t>
      </w:r>
      <w:r>
        <w:t>, which centres a questioning rather than a conclusive approach to my FF readings, with the following title: “</w:t>
      </w:r>
      <w:proofErr w:type="spellStart"/>
      <w:r>
        <w:t>Contracolonial</w:t>
      </w:r>
      <w:proofErr w:type="spellEnd"/>
      <w:r>
        <w:t xml:space="preserve"> Practices in Digital </w:t>
      </w:r>
      <w:proofErr w:type="spellStart"/>
      <w:r>
        <w:t>Storyscapes</w:t>
      </w:r>
      <w:proofErr w:type="spellEnd"/>
      <w:r>
        <w:t xml:space="preserve">” </w:t>
      </w:r>
    </w:p>
    <w:p w14:paraId="7DD59C90" w14:textId="77777777" w:rsidR="00076776" w:rsidRDefault="00076776"/>
    <w:p w14:paraId="06E44936" w14:textId="77777777" w:rsidR="00076776" w:rsidRDefault="00000000">
      <w:pPr>
        <w:ind w:left="720" w:firstLine="720"/>
      </w:pPr>
      <w:r>
        <w:t>My focused field reading list is interdisciplinary. I look at maps and cartographic practices, toponyms, and conceptions of space and place through a Digital Humanities (DH) and digital-archival lens. I want to understand what maps can reveal about what I call the “settler psyche” and its responses to Indigenous knowledges and “</w:t>
      </w:r>
      <w:proofErr w:type="spellStart"/>
      <w:r>
        <w:t>storyscapes</w:t>
      </w:r>
      <w:proofErr w:type="spellEnd"/>
      <w:r>
        <w:t xml:space="preserve">” (Rose-Redwood 188), in a BC and Salish Sea context particularly and in historical and current contexts, generally. My readings reflect, and are guided by, the following questions: (1) </w:t>
      </w:r>
      <w:r>
        <w:rPr>
          <w:b/>
        </w:rPr>
        <w:t>What is a map?</w:t>
      </w:r>
      <w:r>
        <w:t xml:space="preserve"> It can be a wayfinding tool, but how is also a tool for sociopolitical control, a textual object, or a spatial narrativity? (2) </w:t>
      </w:r>
      <w:r>
        <w:rPr>
          <w:b/>
        </w:rPr>
        <w:t>How and why do Indigenous knowledges unsettle settler conceptions of space, place, and land?</w:t>
      </w:r>
      <w:r>
        <w:t xml:space="preserve"> For example, what is it about the restoration of Indigenous toponomies that causes defensiveness from some settler quarters? (3) </w:t>
      </w:r>
      <w:r>
        <w:rPr>
          <w:b/>
        </w:rPr>
        <w:t>What does it mean to “decolonize” digital spaces</w:t>
      </w:r>
      <w:r>
        <w:t xml:space="preserve">, especially ones that convey, or attempt to convey, shared Indigenous/settler histories? If Tuck and Yang remind us that “decolonization” is impossible without addressing “the land question” (7), then what can settlers do to make space for Indigenous perspectives and voices in digital spaces? </w:t>
      </w:r>
    </w:p>
    <w:p w14:paraId="7ED94AB2" w14:textId="77777777" w:rsidR="00076776" w:rsidRDefault="00000000">
      <w:pPr>
        <w:ind w:left="720" w:firstLine="720"/>
      </w:pPr>
      <w:r>
        <w:t xml:space="preserve">To help me to answer these questions, I have grouped the texts into the two thematic categories of (1) </w:t>
      </w:r>
      <w:proofErr w:type="spellStart"/>
      <w:r>
        <w:rPr>
          <w:b/>
        </w:rPr>
        <w:t>geospatiality</w:t>
      </w:r>
      <w:proofErr w:type="spellEnd"/>
      <w:r>
        <w:t>, which covers cartographic practices, maps, and toponymic theories and practices; (2) “</w:t>
      </w:r>
      <w:r>
        <w:rPr>
          <w:b/>
        </w:rPr>
        <w:t>decolonization</w:t>
      </w:r>
      <w:r>
        <w:t xml:space="preserve">,” as reflected through Indigenous knowledges and methodological practices, and the ways in which settler institutions, such as universities, do or do not incorporate these practices. In addition to these main categories, I have added works on British Columbia history, </w:t>
      </w:r>
      <w:proofErr w:type="gramStart"/>
      <w:r>
        <w:t>in order to</w:t>
      </w:r>
      <w:proofErr w:type="gramEnd"/>
      <w:r>
        <w:t xml:space="preserve"> provide historical context for my dissertation work, and to further my ultimate project-goal of adding Indigenous toponyms to historical settler maps. </w:t>
      </w:r>
    </w:p>
    <w:p w14:paraId="711383B3" w14:textId="77777777" w:rsidR="00076776" w:rsidRDefault="00000000">
      <w:pPr>
        <w:ind w:left="720" w:firstLine="720"/>
      </w:pPr>
      <w:r>
        <w:t xml:space="preserve">My reading list will enable me to interrogate settler constructions of “Indigeneity” and “decolonization,” and to challenge the ways in which seemingly neutral mediums, such as digital maps, digital archives, and websites, can deploy settler-centric content. My list is inspired, in part, by Ellen Noble’s approach: “I consider my work a practical project, the goal of which is to eliminate social injustice and change the ways in which people are oppressed with the aid of allegedly neutral technologies” (20). Broadly, I will examine settler approaches to the incorporation of Indigenous perspectives in traditionally settler technologies. I am interested in points of resistance and alliance, in settler methodologies and tools, in the incorporation of “decolonization” practices, and in what these points reveal about hegemonies within DH and “spatial humanities” (Engle 218) practices. My readings allow me to query and critique settler-centric techno-determinism in DH and Humanities contexts, and to explore the ways in which the settler psyche, even when well-intentioned, can reify and entrench colonial and imperialist values—what Tuck and Yang call settler “moves to innocence” (17). </w:t>
      </w:r>
    </w:p>
    <w:p w14:paraId="14B05F98" w14:textId="77777777" w:rsidR="00076776" w:rsidRDefault="00076776"/>
    <w:p w14:paraId="4D4FFD8B" w14:textId="77777777" w:rsidR="00076776" w:rsidRDefault="00000000">
      <w:r>
        <w:t xml:space="preserve">As a supplement to the final statement, I include a preamble to </w:t>
      </w:r>
      <w:hyperlink r:id="rId10">
        <w:r w:rsidR="00076776">
          <w:rPr>
            <w:color w:val="0563C1"/>
            <w:u w:val="single"/>
          </w:rPr>
          <w:t>a recent update I gave at the Library Council’s meeting</w:t>
        </w:r>
      </w:hyperlink>
      <w:r>
        <w:t xml:space="preserve">, which inspired me to update my FF rationale’s title. </w:t>
      </w:r>
    </w:p>
    <w:p w14:paraId="10BEA799" w14:textId="77777777" w:rsidR="00076776" w:rsidRDefault="00076776"/>
    <w:p w14:paraId="7D3053D9" w14:textId="77777777" w:rsidR="00076776" w:rsidRDefault="00000000">
      <w:pPr>
        <w:ind w:firstLine="720"/>
        <w:rPr>
          <w:b/>
        </w:rPr>
      </w:pPr>
      <w:r>
        <w:rPr>
          <w:b/>
        </w:rPr>
        <w:t>What “decolonization” looks like, now</w:t>
      </w:r>
    </w:p>
    <w:p w14:paraId="420D9FAC" w14:textId="77777777" w:rsidR="00076776" w:rsidRDefault="00000000">
      <w:pPr>
        <w:ind w:left="720"/>
      </w:pPr>
      <w:r>
        <w:t xml:space="preserve">According to Tuck &amp; Yang, in “Decolonization is Not a Metaphor,” we cannot decolonize unless we’re addressing the land question. Edward Said’s process of contrapuntal reading, from </w:t>
      </w:r>
      <w:r>
        <w:rPr>
          <w:i/>
        </w:rPr>
        <w:t>Culture and Imperialism</w:t>
      </w:r>
      <w:r>
        <w:t xml:space="preserve"> (1993), asks us to read the novel in </w:t>
      </w:r>
      <w:r>
        <w:lastRenderedPageBreak/>
        <w:t>the light of its structural dependencies—the spaces, places, and cultural realities required to make the story possible—and read the forgotten other back into the text (</w:t>
      </w:r>
      <w:hyperlink r:id="rId11">
        <w:r w:rsidR="00076776">
          <w:rPr>
            <w:color w:val="0563C1"/>
            <w:u w:val="single"/>
          </w:rPr>
          <w:t>Oxford Ref</w:t>
        </w:r>
      </w:hyperlink>
      <w:r>
        <w:t xml:space="preserve">.). Maybe we’re into similar territory from an archival and historical point of view: reading local history </w:t>
      </w:r>
      <w:proofErr w:type="gramStart"/>
      <w:r>
        <w:t>in light of</w:t>
      </w:r>
      <w:proofErr w:type="gramEnd"/>
      <w:r>
        <w:t xml:space="preserve"> its colonial dependencies and trying to read the forgotten Indigenous back into the archive. At best, we are providing a </w:t>
      </w:r>
      <w:r>
        <w:rPr>
          <w:i/>
        </w:rPr>
        <w:t>counter reading</w:t>
      </w:r>
      <w:r>
        <w:t xml:space="preserve">, or what I see as an accountability reading. At worst, we recolonize through the very colonial structures that make a university possible. Building on Said’s term, I propose </w:t>
      </w:r>
      <w:proofErr w:type="spellStart"/>
      <w:r>
        <w:rPr>
          <w:b/>
          <w:i/>
        </w:rPr>
        <w:t>contracolonial</w:t>
      </w:r>
      <w:proofErr w:type="spellEnd"/>
      <w:r>
        <w:t xml:space="preserve">, </w:t>
      </w:r>
      <w:proofErr w:type="gramStart"/>
      <w:r>
        <w:t>as a way to</w:t>
      </w:r>
      <w:proofErr w:type="gramEnd"/>
      <w:r>
        <w:t xml:space="preserve"> describe a reading against the grain of the colonial status quo. An allergy to conclusions helps… </w:t>
      </w:r>
    </w:p>
    <w:p w14:paraId="1FB35C48" w14:textId="77777777" w:rsidR="00076776" w:rsidRDefault="00076776"/>
    <w:p w14:paraId="3EE804FB" w14:textId="77777777" w:rsidR="00076776" w:rsidRDefault="00000000">
      <w:pPr>
        <w:pStyle w:val="Heading2"/>
      </w:pPr>
      <w:r>
        <w:t xml:space="preserve">Formatting changes </w:t>
      </w:r>
    </w:p>
    <w:p w14:paraId="6613EE51" w14:textId="77777777" w:rsidR="00076776" w:rsidRDefault="00000000">
      <w:r>
        <w:t xml:space="preserve">My Major Field (MF) exam was a five-hour, in-house affair, which called for a certain approach to note taking. Arguably, my MF exam notes let me down in some painfully obvious ways: my tagging system was too granular to use effectively during the time allotted. And, at roughly 600 pages of material, the notes were too long to synthesize efficiently in five hours. I knew this risk from the outset, and I wanted to have a reference document to use for a lifetime, so it was not a total flop. </w:t>
      </w:r>
    </w:p>
    <w:p w14:paraId="25AA912A" w14:textId="77777777" w:rsidR="00076776" w:rsidRDefault="00076776"/>
    <w:p w14:paraId="1B8FB5C7" w14:textId="77777777" w:rsidR="00076776" w:rsidRDefault="00000000">
      <w:r>
        <w:t xml:space="preserve">What saved my exam was my pre-writing—that is, the brief essays I outlined and wrote, some more detailed than others, on the subjects upon which I predicted would be on the test. I build on those lessons and that approach, here, in a few ways. First, I will sit the seventy-two-hour take-home exam, which will give me far more time to comb through quotes. Second, I will begin this notation process with pre-writing in mind, by writing up to five response-essays to the types of questions I expect to see on the FF exam. I figure that at least three of the five will be useful in some way. I will construct the essays as I work through the readings, and I will aim for up to two-thousand words, max, for each essay. Writing as I go should lessen the stress: ideally, I will spend my exam time (~8 hrs per day on each essay, respectively) fine-tuning my essays to fit the answers, rather than drafting. Another comfort is that I will have an easier time knowing which quotes to keep or ignore, and to limit the existential agony further, </w:t>
      </w:r>
      <w:r>
        <w:rPr>
          <w:i/>
        </w:rPr>
        <w:t>I will limit my usable quotes to three pages per work</w:t>
      </w:r>
      <w:r>
        <w:t xml:space="preserve">, no matter how long it is. As much as this limit grinds against my urge to know and notate </w:t>
      </w:r>
      <w:r>
        <w:rPr>
          <w:i/>
        </w:rPr>
        <w:t xml:space="preserve">All </w:t>
      </w:r>
      <w:proofErr w:type="gramStart"/>
      <w:r>
        <w:rPr>
          <w:i/>
        </w:rPr>
        <w:t>The</w:t>
      </w:r>
      <w:proofErr w:type="gramEnd"/>
      <w:r>
        <w:rPr>
          <w:i/>
        </w:rPr>
        <w:t xml:space="preserve"> Things</w:t>
      </w:r>
      <w:r>
        <w:t xml:space="preserve">, any more than three pages per work is likely overkill, at least for the exam phase—I can always return to a work during the dissertation phase. Third, and this is a preparatory benefit, I might be able to expand on some of my answers to become papers for my portfolio-style dissertation. </w:t>
      </w:r>
    </w:p>
    <w:p w14:paraId="733D4BA3" w14:textId="77777777" w:rsidR="00076776" w:rsidRDefault="00076776"/>
    <w:p w14:paraId="118B9CD6" w14:textId="77777777" w:rsidR="00076776" w:rsidRDefault="00000000">
      <w:r>
        <w:t xml:space="preserve">Finally, I have made some practical tweaks to how I take notes: </w:t>
      </w:r>
    </w:p>
    <w:p w14:paraId="340C7185" w14:textId="77777777" w:rsidR="00076776" w:rsidRDefault="00000000">
      <w:pPr>
        <w:numPr>
          <w:ilvl w:val="0"/>
          <w:numId w:val="8"/>
        </w:numPr>
        <w:pBdr>
          <w:top w:val="nil"/>
          <w:left w:val="nil"/>
          <w:bottom w:val="nil"/>
          <w:right w:val="nil"/>
          <w:between w:val="nil"/>
        </w:pBdr>
        <w:rPr>
          <w:color w:val="000000"/>
        </w:rPr>
      </w:pPr>
      <w:r>
        <w:rPr>
          <w:color w:val="000000"/>
        </w:rPr>
        <w:t xml:space="preserve">I will no longer add “quotes” around my quotes, unless for the sake of clarity. </w:t>
      </w:r>
    </w:p>
    <w:p w14:paraId="5C6BC27F" w14:textId="77777777" w:rsidR="00076776" w:rsidRDefault="00000000">
      <w:pPr>
        <w:numPr>
          <w:ilvl w:val="0"/>
          <w:numId w:val="8"/>
        </w:numPr>
        <w:pBdr>
          <w:top w:val="nil"/>
          <w:left w:val="nil"/>
          <w:bottom w:val="nil"/>
          <w:right w:val="nil"/>
          <w:between w:val="nil"/>
        </w:pBdr>
        <w:rPr>
          <w:color w:val="000000"/>
        </w:rPr>
      </w:pPr>
      <w:r>
        <w:rPr>
          <w:color w:val="000000"/>
        </w:rPr>
        <w:t xml:space="preserve">Page numbers will serve as headers for all the quotes on a given page, followed by the quote(s), as in this example: </w:t>
      </w:r>
      <w:r>
        <w:rPr>
          <w:color w:val="000000"/>
        </w:rPr>
        <w:br/>
      </w:r>
      <w:r>
        <w:rPr>
          <w:color w:val="000000"/>
        </w:rPr>
        <w:br/>
        <w:t>457 @Hegem@Topo</w:t>
      </w:r>
      <w:r>
        <w:rPr>
          <w:color w:val="000000"/>
        </w:rPr>
        <w:br/>
      </w:r>
    </w:p>
    <w:p w14:paraId="2D117168" w14:textId="77777777" w:rsidR="00076776" w:rsidRDefault="00000000">
      <w:pPr>
        <w:ind w:left="1080"/>
      </w:pPr>
      <w:r>
        <w:t xml:space="preserve">It is precisely this process of using street naming as a mechanism for </w:t>
      </w:r>
      <w:r>
        <w:rPr>
          <w:i/>
        </w:rPr>
        <w:t>naturalizing</w:t>
      </w:r>
      <w:r>
        <w:t xml:space="preserve"> hegemonic power structures that critical place-name scholars have sought to challenge by demonstrating the historical instability and contingency of place-name regimes. </w:t>
      </w:r>
    </w:p>
    <w:p w14:paraId="11387282" w14:textId="77777777" w:rsidR="00076776" w:rsidRDefault="00076776">
      <w:pPr>
        <w:ind w:left="1080"/>
      </w:pPr>
    </w:p>
    <w:p w14:paraId="3D8DA2E5" w14:textId="77777777" w:rsidR="00076776" w:rsidRDefault="00000000">
      <w:pPr>
        <w:ind w:left="1080"/>
      </w:pPr>
      <w:r>
        <w:t>[…] toponyms function as a form of ‘symbolic capital’, a means of creating social distinction and status for both elite and marginalized groups as well as individual actors (Hagen, et. al.).</w:t>
      </w:r>
    </w:p>
    <w:p w14:paraId="7DAEF179" w14:textId="77777777" w:rsidR="00076776" w:rsidRDefault="00076776">
      <w:pPr>
        <w:ind w:left="1080"/>
      </w:pPr>
    </w:p>
    <w:p w14:paraId="3B729755" w14:textId="77777777" w:rsidR="00076776" w:rsidRDefault="00000000">
      <w:pPr>
        <w:numPr>
          <w:ilvl w:val="0"/>
          <w:numId w:val="9"/>
        </w:numPr>
        <w:pBdr>
          <w:top w:val="nil"/>
          <w:left w:val="nil"/>
          <w:bottom w:val="nil"/>
          <w:right w:val="nil"/>
          <w:between w:val="nil"/>
        </w:pBdr>
        <w:rPr>
          <w:color w:val="000000"/>
        </w:rPr>
      </w:pPr>
      <w:r>
        <w:rPr>
          <w:color w:val="000000"/>
        </w:rPr>
        <w:t>I will no longer add forward-slashes between tags, as this is unnecessary, as in this example: @Hegem@Topo@TechDev</w:t>
      </w:r>
    </w:p>
    <w:p w14:paraId="362472C5" w14:textId="77777777" w:rsidR="00076776" w:rsidRDefault="00000000">
      <w:pPr>
        <w:numPr>
          <w:ilvl w:val="0"/>
          <w:numId w:val="9"/>
        </w:numPr>
        <w:pBdr>
          <w:top w:val="nil"/>
          <w:left w:val="nil"/>
          <w:bottom w:val="nil"/>
          <w:right w:val="nil"/>
          <w:between w:val="nil"/>
        </w:pBdr>
        <w:rPr>
          <w:color w:val="000000"/>
        </w:rPr>
      </w:pPr>
      <w:r>
        <w:rPr>
          <w:color w:val="000000"/>
        </w:rPr>
        <w:t xml:space="preserve">I will no longer add parenthetical pages numbers after each quote, as this wastes time during note taking. </w:t>
      </w:r>
    </w:p>
    <w:p w14:paraId="2F53AFB5" w14:textId="77777777" w:rsidR="00076776" w:rsidRDefault="00000000">
      <w:pPr>
        <w:numPr>
          <w:ilvl w:val="0"/>
          <w:numId w:val="8"/>
        </w:numPr>
        <w:pBdr>
          <w:top w:val="nil"/>
          <w:left w:val="nil"/>
          <w:bottom w:val="nil"/>
          <w:right w:val="nil"/>
          <w:between w:val="nil"/>
        </w:pBdr>
        <w:rPr>
          <w:color w:val="000000"/>
        </w:rPr>
      </w:pPr>
      <w:r>
        <w:rPr>
          <w:color w:val="000000"/>
        </w:rPr>
        <w:t xml:space="preserve">All quotes will be indented (tabbed in). </w:t>
      </w:r>
    </w:p>
    <w:p w14:paraId="388878D0" w14:textId="77777777" w:rsidR="00076776" w:rsidRDefault="00000000">
      <w:pPr>
        <w:numPr>
          <w:ilvl w:val="0"/>
          <w:numId w:val="8"/>
        </w:numPr>
        <w:pBdr>
          <w:top w:val="nil"/>
          <w:left w:val="nil"/>
          <w:bottom w:val="nil"/>
          <w:right w:val="nil"/>
          <w:between w:val="nil"/>
        </w:pBdr>
        <w:rPr>
          <w:color w:val="000000"/>
        </w:rPr>
      </w:pPr>
      <w:proofErr w:type="gramStart"/>
      <w:r>
        <w:rPr>
          <w:color w:val="000000"/>
        </w:rPr>
        <w:t>All of</w:t>
      </w:r>
      <w:proofErr w:type="gramEnd"/>
      <w:r>
        <w:rPr>
          <w:color w:val="000000"/>
        </w:rPr>
        <w:t xml:space="preserve"> my comments will be left-justified (as opposed to indented). Hopefully, this will make it easier to differentiate my comments from the quotes. </w:t>
      </w:r>
    </w:p>
    <w:p w14:paraId="668F9708" w14:textId="77777777" w:rsidR="00076776" w:rsidRDefault="00000000">
      <w:pPr>
        <w:pStyle w:val="Heading1"/>
      </w:pPr>
      <w:bookmarkStart w:id="1" w:name="_heading=h.30j0zll" w:colFirst="0" w:colLast="0"/>
      <w:bookmarkEnd w:id="1"/>
      <w:r>
        <w:t>Document To-dos</w:t>
      </w:r>
    </w:p>
    <w:p w14:paraId="2DA1F515" w14:textId="77777777" w:rsidR="00076776" w:rsidRDefault="00000000">
      <w:pPr>
        <w:numPr>
          <w:ilvl w:val="0"/>
          <w:numId w:val="7"/>
        </w:numPr>
        <w:pBdr>
          <w:top w:val="nil"/>
          <w:left w:val="nil"/>
          <w:bottom w:val="nil"/>
          <w:right w:val="nil"/>
          <w:between w:val="nil"/>
        </w:pBdr>
        <w:rPr>
          <w:color w:val="000000"/>
        </w:rPr>
      </w:pPr>
      <w:r>
        <w:rPr>
          <w:color w:val="000000"/>
        </w:rPr>
        <w:t xml:space="preserve">Add the @OAT (Oral Exam Term) to any terms you’d like to mention. </w:t>
      </w:r>
    </w:p>
    <w:p w14:paraId="3944050A" w14:textId="77777777" w:rsidR="00076776" w:rsidRDefault="00000000">
      <w:pPr>
        <w:numPr>
          <w:ilvl w:val="0"/>
          <w:numId w:val="7"/>
        </w:numPr>
        <w:pBdr>
          <w:top w:val="nil"/>
          <w:left w:val="nil"/>
          <w:bottom w:val="nil"/>
          <w:right w:val="nil"/>
          <w:between w:val="nil"/>
        </w:pBdr>
        <w:rPr>
          <w:color w:val="000000"/>
        </w:rPr>
      </w:pPr>
      <w:r>
        <w:rPr>
          <w:color w:val="000000"/>
        </w:rPr>
        <w:t xml:space="preserve">Search on the @FFessay tag and add to notes as needed. </w:t>
      </w:r>
    </w:p>
    <w:p w14:paraId="01822561" w14:textId="77777777" w:rsidR="00076776" w:rsidRDefault="00000000">
      <w:pPr>
        <w:numPr>
          <w:ilvl w:val="0"/>
          <w:numId w:val="7"/>
        </w:numPr>
        <w:pBdr>
          <w:top w:val="nil"/>
          <w:left w:val="nil"/>
          <w:bottom w:val="nil"/>
          <w:right w:val="nil"/>
          <w:between w:val="nil"/>
        </w:pBdr>
        <w:rPr>
          <w:color w:val="000000"/>
        </w:rPr>
      </w:pPr>
      <w:r>
        <w:rPr>
          <w:color w:val="000000"/>
        </w:rPr>
        <w:t xml:space="preserve">Read through the notes entirely to see if any other useful essay themes emerge. Add the developed ideas to the </w:t>
      </w:r>
      <w:hyperlink w:anchor="_heading=h.1mrcu09">
        <w:r w:rsidR="00076776">
          <w:rPr>
            <w:color w:val="0563C1"/>
            <w:u w:val="single"/>
          </w:rPr>
          <w:t>Essay answers section</w:t>
        </w:r>
      </w:hyperlink>
      <w:r>
        <w:rPr>
          <w:color w:val="000000"/>
        </w:rPr>
        <w:t xml:space="preserve">, and the others to the </w:t>
      </w:r>
      <w:hyperlink w:anchor="_heading=h.111kx3o">
        <w:r w:rsidR="00076776">
          <w:rPr>
            <w:color w:val="0563C1"/>
            <w:u w:val="single"/>
          </w:rPr>
          <w:t>Under construction section</w:t>
        </w:r>
      </w:hyperlink>
      <w:r>
        <w:rPr>
          <w:color w:val="000000"/>
        </w:rPr>
        <w:t xml:space="preserve">. </w:t>
      </w:r>
    </w:p>
    <w:p w14:paraId="78E0BE6B" w14:textId="77777777" w:rsidR="00076776" w:rsidRDefault="00000000">
      <w:pPr>
        <w:numPr>
          <w:ilvl w:val="0"/>
          <w:numId w:val="7"/>
        </w:numPr>
        <w:pBdr>
          <w:top w:val="nil"/>
          <w:left w:val="nil"/>
          <w:bottom w:val="nil"/>
          <w:right w:val="nil"/>
          <w:between w:val="nil"/>
        </w:pBdr>
        <w:rPr>
          <w:color w:val="000000"/>
        </w:rPr>
      </w:pPr>
      <w:r>
        <w:rPr>
          <w:color w:val="000000"/>
        </w:rPr>
        <w:t>Go through every @Diss and re-tag as either @DissSource or @Diss?</w:t>
      </w:r>
    </w:p>
    <w:p w14:paraId="60F61A50" w14:textId="77777777" w:rsidR="00076776" w:rsidRDefault="00000000">
      <w:pPr>
        <w:numPr>
          <w:ilvl w:val="0"/>
          <w:numId w:val="7"/>
        </w:numPr>
        <w:pBdr>
          <w:top w:val="nil"/>
          <w:left w:val="nil"/>
          <w:bottom w:val="nil"/>
          <w:right w:val="nil"/>
          <w:between w:val="nil"/>
        </w:pBdr>
        <w:rPr>
          <w:color w:val="000000"/>
        </w:rPr>
      </w:pPr>
      <w:r>
        <w:rPr>
          <w:color w:val="000000"/>
        </w:rPr>
        <w:t xml:space="preserve">Do a keyword search through Clayton’s </w:t>
      </w:r>
      <w:r>
        <w:rPr>
          <w:i/>
          <w:color w:val="000000"/>
        </w:rPr>
        <w:t>Islands of Truth</w:t>
      </w:r>
      <w:r>
        <w:rPr>
          <w:color w:val="000000"/>
        </w:rPr>
        <w:t xml:space="preserve">. See the </w:t>
      </w:r>
      <w:hyperlink w:anchor="_heading=h.3tbugp1">
        <w:r w:rsidR="00076776">
          <w:rPr>
            <w:color w:val="0563C1"/>
            <w:u w:val="single"/>
          </w:rPr>
          <w:t>Random notes</w:t>
        </w:r>
      </w:hyperlink>
      <w:r>
        <w:rPr>
          <w:color w:val="000000"/>
        </w:rPr>
        <w:t xml:space="preserve"> section. </w:t>
      </w:r>
    </w:p>
    <w:p w14:paraId="5C5C55A3" w14:textId="77777777" w:rsidR="00076776" w:rsidRDefault="00076776"/>
    <w:p w14:paraId="5D4E419A" w14:textId="77777777" w:rsidR="00076776" w:rsidRDefault="00000000">
      <w:pPr>
        <w:pStyle w:val="Heading4"/>
      </w:pPr>
      <w:r>
        <w:t>Completed tasks</w:t>
      </w:r>
    </w:p>
    <w:p w14:paraId="1E37A6A9" w14:textId="77777777" w:rsidR="00076776" w:rsidRDefault="00076776"/>
    <w:p w14:paraId="58016295" w14:textId="77777777" w:rsidR="00076776" w:rsidRDefault="00000000">
      <w:pPr>
        <w:numPr>
          <w:ilvl w:val="0"/>
          <w:numId w:val="4"/>
        </w:numPr>
        <w:pBdr>
          <w:top w:val="nil"/>
          <w:left w:val="nil"/>
          <w:bottom w:val="nil"/>
          <w:right w:val="nil"/>
          <w:between w:val="nil"/>
        </w:pBdr>
        <w:rPr>
          <w:color w:val="000000"/>
        </w:rPr>
      </w:pPr>
      <w:r>
        <w:rPr>
          <w:color w:val="000000"/>
        </w:rPr>
        <w:t xml:space="preserve">Reread your FF rationale </w:t>
      </w:r>
      <w:proofErr w:type="gramStart"/>
      <w:r>
        <w:rPr>
          <w:color w:val="000000"/>
        </w:rPr>
        <w:t>in order to</w:t>
      </w:r>
      <w:proofErr w:type="gramEnd"/>
      <w:r>
        <w:rPr>
          <w:color w:val="000000"/>
        </w:rPr>
        <w:t xml:space="preserve"> guide your responses: remember that this rationale all will inform directly your exam questions. </w:t>
      </w:r>
    </w:p>
    <w:p w14:paraId="482FC904" w14:textId="77777777" w:rsidR="00076776" w:rsidRDefault="00000000">
      <w:pPr>
        <w:numPr>
          <w:ilvl w:val="0"/>
          <w:numId w:val="4"/>
        </w:numPr>
        <w:pBdr>
          <w:top w:val="nil"/>
          <w:left w:val="nil"/>
          <w:bottom w:val="nil"/>
          <w:right w:val="nil"/>
          <w:between w:val="nil"/>
        </w:pBdr>
        <w:rPr>
          <w:color w:val="000000"/>
        </w:rPr>
      </w:pPr>
      <w:r>
        <w:rPr>
          <w:color w:val="000000"/>
        </w:rPr>
        <w:t xml:space="preserve">Continue to work through the Notes for each section, adding to your existing and new essay ideas as needed. </w:t>
      </w:r>
    </w:p>
    <w:p w14:paraId="6C3F84F4" w14:textId="77777777" w:rsidR="00076776" w:rsidRDefault="00000000">
      <w:pPr>
        <w:numPr>
          <w:ilvl w:val="0"/>
          <w:numId w:val="4"/>
        </w:numPr>
        <w:pBdr>
          <w:top w:val="nil"/>
          <w:left w:val="nil"/>
          <w:bottom w:val="nil"/>
          <w:right w:val="nil"/>
          <w:between w:val="nil"/>
        </w:pBdr>
        <w:rPr>
          <w:color w:val="000000"/>
        </w:rPr>
      </w:pPr>
      <w:r>
        <w:rPr>
          <w:color w:val="000000"/>
        </w:rPr>
        <w:t xml:space="preserve">Use </w:t>
      </w:r>
      <w:hyperlink r:id="rId12">
        <w:r w:rsidR="00076776">
          <w:rPr>
            <w:i/>
            <w:color w:val="0563C1"/>
            <w:u w:val="single"/>
          </w:rPr>
          <w:t>They Say, I Say</w:t>
        </w:r>
      </w:hyperlink>
      <w:r>
        <w:rPr>
          <w:color w:val="000000"/>
        </w:rPr>
        <w:t>‘s essay structure(s) for each answer, as this is something Janelle will notice.</w:t>
      </w:r>
    </w:p>
    <w:p w14:paraId="5BDC710F" w14:textId="77777777" w:rsidR="00076776" w:rsidRDefault="00000000">
      <w:pPr>
        <w:numPr>
          <w:ilvl w:val="0"/>
          <w:numId w:val="4"/>
        </w:numPr>
        <w:pBdr>
          <w:top w:val="nil"/>
          <w:left w:val="nil"/>
          <w:bottom w:val="nil"/>
          <w:right w:val="nil"/>
          <w:between w:val="nil"/>
        </w:pBdr>
        <w:rPr>
          <w:color w:val="000000"/>
        </w:rPr>
      </w:pPr>
      <w:r>
        <w:rPr>
          <w:color w:val="000000"/>
        </w:rPr>
        <w:t xml:space="preserve">Confirm that bibl. aligns with spreadsheet bibl. </w:t>
      </w:r>
    </w:p>
    <w:p w14:paraId="32EA465C" w14:textId="77777777" w:rsidR="00076776" w:rsidRDefault="00000000">
      <w:pPr>
        <w:numPr>
          <w:ilvl w:val="0"/>
          <w:numId w:val="4"/>
        </w:numPr>
        <w:pBdr>
          <w:top w:val="nil"/>
          <w:left w:val="nil"/>
          <w:bottom w:val="nil"/>
          <w:right w:val="nil"/>
          <w:between w:val="nil"/>
        </w:pBdr>
        <w:rPr>
          <w:color w:val="000000"/>
        </w:rPr>
      </w:pPr>
      <w:r>
        <w:rPr>
          <w:color w:val="000000"/>
        </w:rPr>
        <w:t xml:space="preserve">Search on the following tags and add to the quote-farms for each essay: @WIAM, @IVSS, IKSG. </w:t>
      </w:r>
    </w:p>
    <w:p w14:paraId="6099FF34" w14:textId="77777777" w:rsidR="00076776" w:rsidRDefault="00076776"/>
    <w:p w14:paraId="0EE0482F" w14:textId="77777777" w:rsidR="00076776" w:rsidRDefault="00000000">
      <w:pPr>
        <w:pStyle w:val="Heading1"/>
      </w:pPr>
      <w:bookmarkStart w:id="2" w:name="_heading=h.1fob9te" w:colFirst="0" w:colLast="0"/>
      <w:bookmarkEnd w:id="2"/>
      <w:r>
        <w:t>Theme index</w:t>
      </w:r>
    </w:p>
    <w:p w14:paraId="5EEEF0D0" w14:textId="77777777" w:rsidR="00D51174" w:rsidRDefault="00000000">
      <w:r>
        <w:t>Note that more than one theme is possible, as separated by a /, e.g., @Indigitization/@SpacePlace would indicate “Indigenize technology” and “Space and place.</w:t>
      </w:r>
      <w:r w:rsidR="00D51174">
        <w:t>”</w:t>
      </w:r>
      <w:r>
        <w:t xml:space="preserve"> </w:t>
      </w:r>
    </w:p>
    <w:p w14:paraId="084E4C4B" w14:textId="77777777" w:rsidR="00D51174" w:rsidRDefault="00D51174"/>
    <w:p w14:paraId="4D3DE1D4" w14:textId="0F995493" w:rsidR="00076776" w:rsidRDefault="00000000">
      <w:r>
        <w:t xml:space="preserve">Note that this list carries over themes from the Major Filed readings, and so many may not apply to the Focused Field readings. Seemed sensible to have all the themes, however, just in case. </w:t>
      </w:r>
    </w:p>
    <w:p w14:paraId="5A0D690A" w14:textId="77777777" w:rsidR="00076776" w:rsidRDefault="00076776"/>
    <w:p w14:paraId="4F839B78" w14:textId="77777777" w:rsidR="00076776" w:rsidRDefault="00000000">
      <w:pPr>
        <w:ind w:left="720"/>
      </w:pPr>
      <w:r>
        <w:t>&gt;&gt; = a chapter or section starts, followed by the title itself and page number, made an h4 heading.</w:t>
      </w:r>
    </w:p>
    <w:p w14:paraId="06F02795" w14:textId="77777777" w:rsidR="00076776" w:rsidRDefault="00000000">
      <w:pPr>
        <w:ind w:left="720"/>
      </w:pPr>
      <w:r>
        <w:lastRenderedPageBreak/>
        <w:t>&gt;&gt;&gt; = a section within a chapter or larger section, followed by the title itself and page number, made an h5 heading.</w:t>
      </w:r>
    </w:p>
    <w:p w14:paraId="462B4290" w14:textId="77777777" w:rsidR="00076776" w:rsidRDefault="00000000">
      <w:pPr>
        <w:ind w:left="720"/>
      </w:pPr>
      <w:r>
        <w:t>&gt;&gt;&gt;&gt; = a section within a smaller section—this one is rare—followed by the title itself and page number, made an h6 heading.</w:t>
      </w:r>
    </w:p>
    <w:p w14:paraId="04A57A70" w14:textId="77777777" w:rsidR="00076776" w:rsidRDefault="00000000">
      <w:pPr>
        <w:ind w:left="720"/>
      </w:pPr>
      <w:r>
        <w:rPr>
          <w:highlight w:val="cyan"/>
        </w:rPr>
        <w:t>†</w:t>
      </w:r>
      <w:r>
        <w:t xml:space="preserve"> = degree of importance. This could be used alongside any other “@” tag. The more †, the more important, up to †††††. Thorn symbol shortcut: Alt + T. </w:t>
      </w:r>
    </w:p>
    <w:p w14:paraId="5B56D248" w14:textId="77777777" w:rsidR="00076776" w:rsidRDefault="00000000">
      <w:pPr>
        <w:ind w:left="720"/>
      </w:pPr>
      <w:r>
        <w:t xml:space="preserve">@Acad = issues and concerns related to “the academy:” what it thinks it is, as well as its broader pedagogical contours, aims, and gaps. </w:t>
      </w:r>
    </w:p>
    <w:p w14:paraId="2CCE0BD1" w14:textId="77777777" w:rsidR="00076776" w:rsidRDefault="00000000">
      <w:pPr>
        <w:ind w:left="720"/>
      </w:pPr>
      <w:r>
        <w:t xml:space="preserve">@AI = artificial intelligence. </w:t>
      </w:r>
    </w:p>
    <w:p w14:paraId="77A82DD5" w14:textId="77777777" w:rsidR="00076776" w:rsidRDefault="00000000">
      <w:pPr>
        <w:ind w:left="720"/>
      </w:pPr>
      <w:r>
        <w:t xml:space="preserve">@Aes = aesthetics, as in the philosophical field of inquiry. As Dieter puts it: “a zone of philosophy dealing with the acculturation of senses and perception” (221). </w:t>
      </w:r>
    </w:p>
    <w:p w14:paraId="09F34D94" w14:textId="77777777" w:rsidR="00076776" w:rsidRDefault="00000000">
      <w:pPr>
        <w:ind w:left="720"/>
      </w:pPr>
      <w:r>
        <w:t xml:space="preserve">@Ally = examinations or characterizations of settlers being Indigenous allies. </w:t>
      </w:r>
    </w:p>
    <w:p w14:paraId="55F3CA5B" w14:textId="77777777" w:rsidR="00076776" w:rsidRDefault="00000000">
      <w:pPr>
        <w:ind w:left="720"/>
      </w:pPr>
      <w:r>
        <w:t xml:space="preserve">@Archive = digital or analogue archives and their concern with metadata, technology, systems, etc. </w:t>
      </w:r>
    </w:p>
    <w:p w14:paraId="04A6E99E" w14:textId="77777777" w:rsidR="00076776" w:rsidRDefault="00000000">
      <w:pPr>
        <w:ind w:left="720"/>
      </w:pPr>
      <w:r>
        <w:t xml:space="preserve">@Arg = argument, something that could be challenged or supported. See @CounterArg, below. </w:t>
      </w:r>
    </w:p>
    <w:p w14:paraId="125CFCBC" w14:textId="77777777" w:rsidR="00076776" w:rsidRDefault="00000000">
      <w:pPr>
        <w:ind w:left="720"/>
      </w:pPr>
      <w:r>
        <w:t xml:space="preserve">@Art = as in art history, practice, and production. </w:t>
      </w:r>
    </w:p>
    <w:p w14:paraId="145883D4" w14:textId="77777777" w:rsidR="00076776" w:rsidRDefault="00000000">
      <w:pPr>
        <w:ind w:left="720"/>
      </w:pPr>
      <w:r>
        <w:t>@ArtSaves = the curious faith that many have in the artist’s abilities and practices to somehow avoid or challenge various Western hegemonic or ontological paradigms.</w:t>
      </w:r>
    </w:p>
    <w:p w14:paraId="22C61317" w14:textId="77777777" w:rsidR="00076776" w:rsidRDefault="00000000">
      <w:pPr>
        <w:ind w:left="720"/>
      </w:pPr>
      <w:r>
        <w:t xml:space="preserve">@Border = borders, as in legal, political, cultural, or metaphysical boundaries between peoples and places. </w:t>
      </w:r>
    </w:p>
    <w:p w14:paraId="23D7203D" w14:textId="77777777" w:rsidR="00076776" w:rsidRDefault="00000000">
      <w:pPr>
        <w:ind w:left="720"/>
      </w:pPr>
      <w:r>
        <w:t xml:space="preserve">@BQuant: blood quantum, particularly the settler “move to innocence” to claim it and therefore adopt the label of “Indigeneity.” </w:t>
      </w:r>
    </w:p>
    <w:p w14:paraId="0EFC978F" w14:textId="77777777" w:rsidR="00076776" w:rsidRDefault="00000000">
      <w:pPr>
        <w:ind w:left="720"/>
      </w:pPr>
      <w:r>
        <w:t xml:space="preserve">@Capital = capitalism, as in the ethos and system, be it in the academy, broader society, or embedded in media systems: advertising, the publishing industry, hardware, etc. </w:t>
      </w:r>
    </w:p>
    <w:p w14:paraId="0B4F02CC" w14:textId="77777777" w:rsidR="00076776" w:rsidRDefault="00000000">
      <w:pPr>
        <w:ind w:left="720"/>
      </w:pPr>
      <w:r>
        <w:t xml:space="preserve">@CGaze = the colonial gaze: that which looks upon for its pleasure, control, or legitimization. </w:t>
      </w:r>
    </w:p>
    <w:p w14:paraId="712B0846" w14:textId="77777777" w:rsidR="00076776" w:rsidRDefault="00000000">
      <w:pPr>
        <w:ind w:left="720"/>
      </w:pPr>
      <w:r>
        <w:t>@Challenge = an instance where I, or scholars/writers in this list, challenge or dispute an idea or premise. This could indicate a logical fallacy, a contradiction, or a weak argument.</w:t>
      </w:r>
    </w:p>
    <w:p w14:paraId="1AE9602A" w14:textId="77777777" w:rsidR="00076776" w:rsidRDefault="00000000">
      <w:pPr>
        <w:ind w:left="720"/>
      </w:pPr>
      <w:r>
        <w:t xml:space="preserve">@ChapSum = chapter summary, which I will add to chapters from which I took few notes, out of either necessity of time or applicability. </w:t>
      </w:r>
    </w:p>
    <w:p w14:paraId="061AF2F8" w14:textId="77777777" w:rsidR="00076776" w:rsidRDefault="00000000">
      <w:pPr>
        <w:ind w:left="720"/>
      </w:pPr>
      <w:r>
        <w:t xml:space="preserve">@CogDiss = cognitive dissonance, in that an idea or concept, </w:t>
      </w:r>
      <w:proofErr w:type="gramStart"/>
      <w:r>
        <w:t>in order to</w:t>
      </w:r>
      <w:proofErr w:type="gramEnd"/>
      <w:r>
        <w:t xml:space="preserve"> be understood, requires the conflation, or simultaneous attention, of two mutually opposing principles. </w:t>
      </w:r>
    </w:p>
    <w:p w14:paraId="52E7C10D" w14:textId="77777777" w:rsidR="00076776" w:rsidRDefault="00000000">
      <w:pPr>
        <w:ind w:left="720"/>
      </w:pPr>
      <w:bookmarkStart w:id="3" w:name="OLE_LINK1"/>
      <w:r>
        <w:t>@CogImp</w:t>
      </w:r>
      <w:bookmarkEnd w:id="3"/>
      <w:r>
        <w:t xml:space="preserve"> = cognitive imperialism, a borrowed term from Carolyn Marvin’s </w:t>
      </w:r>
      <w:r>
        <w:rPr>
          <w:i/>
        </w:rPr>
        <w:t>When Old Technologies Were New</w:t>
      </w:r>
      <w:r>
        <w:t>, which is, by my reading, the act of enforcing at once an epistemological and sociopolitical apparatus onto “a globe efficiently administered by Anglo-Saxon technology” (192).</w:t>
      </w:r>
    </w:p>
    <w:p w14:paraId="1FE5E8F7" w14:textId="77777777" w:rsidR="00076776" w:rsidRDefault="00000000">
      <w:pPr>
        <w:ind w:left="720"/>
      </w:pPr>
      <w:r>
        <w:t>@Col = colonialism, or colonization, and the imperialism that informs it. Many of the “</w:t>
      </w:r>
      <w:proofErr w:type="spellStart"/>
      <w:r>
        <w:t>Contracolonial</w:t>
      </w:r>
      <w:proofErr w:type="spellEnd"/>
      <w:r>
        <w:t xml:space="preserve">” readings discuss such things, so I reserve this tag for particularly spicy or insidious examples. </w:t>
      </w:r>
    </w:p>
    <w:p w14:paraId="52270C05" w14:textId="77777777" w:rsidR="00076776" w:rsidRDefault="00000000">
      <w:pPr>
        <w:ind w:left="720"/>
      </w:pPr>
      <w:r>
        <w:t xml:space="preserve">@Comm = comment, reserved for practical, editorial comments, such as “I skipped this section as it did not apply to my exams.” </w:t>
      </w:r>
    </w:p>
    <w:p w14:paraId="3F04EFD0" w14:textId="77777777" w:rsidR="00076776" w:rsidRDefault="00000000">
      <w:pPr>
        <w:ind w:left="720"/>
      </w:pPr>
      <w:r>
        <w:t xml:space="preserve">@Con = consciousness, in every sense: the source, location, limits, and creation of it, in the biological or sociological sense. It also refers to cognition and its development, from an analytical point of view throughout history. </w:t>
      </w:r>
    </w:p>
    <w:p w14:paraId="3B70C9CB" w14:textId="77777777" w:rsidR="00076776" w:rsidRDefault="00000000">
      <w:pPr>
        <w:ind w:left="720"/>
      </w:pPr>
      <w:r>
        <w:lastRenderedPageBreak/>
        <w:t xml:space="preserve">@CounterArg = counter argument, as in a counter argument to the main argument of a paper or premise. </w:t>
      </w:r>
    </w:p>
    <w:p w14:paraId="70FA324E" w14:textId="77777777" w:rsidR="00076776" w:rsidRDefault="00000000">
      <w:pPr>
        <w:ind w:left="720"/>
      </w:pPr>
      <w:r>
        <w:t xml:space="preserve">@CultApp = cultural appropriation, usually that of </w:t>
      </w:r>
      <w:proofErr w:type="gramStart"/>
      <w:r>
        <w:t>settlers</w:t>
      </w:r>
      <w:proofErr w:type="gramEnd"/>
      <w:r>
        <w:t xml:space="preserve"> appropriation of Indigenous identities. </w:t>
      </w:r>
    </w:p>
    <w:p w14:paraId="4968D811" w14:textId="77777777" w:rsidR="00076776" w:rsidRDefault="00000000">
      <w:pPr>
        <w:ind w:left="720"/>
      </w:pPr>
      <w:r>
        <w:t xml:space="preserve">@CultBias = cultural bias, overt or tacit, and distinct from @Hegem in that that latter reflects what appears as “normal,” the unseen/unfelt tide of cultural expectation; however, cultural bias stands out as a choice/opinion/belief clearly informed by one’s </w:t>
      </w:r>
      <w:proofErr w:type="gramStart"/>
      <w:r>
        <w:t>particular cultural</w:t>
      </w:r>
      <w:proofErr w:type="gramEnd"/>
      <w:r>
        <w:t xml:space="preserve"> in every sense of the word. </w:t>
      </w:r>
    </w:p>
    <w:p w14:paraId="5635D612" w14:textId="77777777" w:rsidR="00076776" w:rsidRDefault="00000000">
      <w:pPr>
        <w:ind w:left="720"/>
      </w:pPr>
      <w:r>
        <w:t xml:space="preserve">@Contracolonial = decolonize, as in the work, people, or methodologies that seek to do so. See the @Recol tag for more context. </w:t>
      </w:r>
    </w:p>
    <w:p w14:paraId="6A625ED5" w14:textId="77777777" w:rsidR="00076776" w:rsidRDefault="00000000">
      <w:pPr>
        <w:ind w:left="720"/>
      </w:pPr>
      <w:r>
        <w:t>@DHhist = in the larger sense of things that brought about the field, or key moments in its development and traditions.</w:t>
      </w:r>
    </w:p>
    <w:p w14:paraId="5ADCF99A" w14:textId="77777777" w:rsidR="00076776" w:rsidRDefault="00000000">
      <w:pPr>
        <w:ind w:left="720"/>
      </w:pPr>
      <w:r>
        <w:t xml:space="preserve">@DHmeth = DH methodologies: something specific to how DH approaches its work as a field. </w:t>
      </w:r>
    </w:p>
    <w:p w14:paraId="6A607C2F" w14:textId="77777777" w:rsidR="00076776" w:rsidRDefault="00000000">
      <w:pPr>
        <w:ind w:left="720"/>
      </w:pPr>
      <w:r>
        <w:t xml:space="preserve">@DHtech = DH technologies, as in the toys: 3D printers, QR codes, scanners, Arduino, and software, like Scala, etc. </w:t>
      </w:r>
    </w:p>
    <w:p w14:paraId="1288FEDA" w14:textId="77777777" w:rsidR="00076776" w:rsidRDefault="00000000">
      <w:pPr>
        <w:ind w:left="720"/>
      </w:pPr>
      <w:r>
        <w:t xml:space="preserve">@Dio = diorama, either literally, in the object or cultural sense, or in the metaphorical sense, ontologically speaking. </w:t>
      </w:r>
    </w:p>
    <w:p w14:paraId="2CA5BAA0" w14:textId="77777777" w:rsidR="00076776" w:rsidRDefault="00000000">
      <w:pPr>
        <w:ind w:left="720"/>
      </w:pPr>
      <w:r>
        <w:t xml:space="preserve">@Discourse = pertinent to rhetoric, or an approach to communicating and idea, premise, or argument. </w:t>
      </w:r>
    </w:p>
    <w:p w14:paraId="6CF56643" w14:textId="77777777" w:rsidR="00076776" w:rsidRDefault="00000000">
      <w:pPr>
        <w:ind w:left="720"/>
      </w:pPr>
      <w:r>
        <w:t xml:space="preserve">@Diss? = dissertation idea/theme to write about or research, later. </w:t>
      </w:r>
    </w:p>
    <w:p w14:paraId="1D6105E3" w14:textId="77777777" w:rsidR="00076776" w:rsidRDefault="00000000">
      <w:pPr>
        <w:ind w:left="720"/>
      </w:pPr>
      <w:r>
        <w:t xml:space="preserve">@DissSource = read “diss” later, as in a source for future work. </w:t>
      </w:r>
    </w:p>
    <w:p w14:paraId="2E2B9E5F" w14:textId="77777777" w:rsidR="00076776" w:rsidRDefault="00000000">
      <w:pPr>
        <w:ind w:left="720"/>
      </w:pPr>
      <w:r>
        <w:t xml:space="preserve">@DoD = Doctrine of Discovery, or anything that relates to a divine or presumed right to land, just because it was “found.” </w:t>
      </w:r>
    </w:p>
    <w:p w14:paraId="5A67723C" w14:textId="77777777" w:rsidR="00076776" w:rsidRDefault="00000000">
      <w:pPr>
        <w:ind w:left="720"/>
      </w:pPr>
      <w:r>
        <w:t xml:space="preserve">@Dual = dualism, in the Cartesian sense of mind and matter, but also the compulsion to reduce complex positionalities or ideas to dualities, like right and wrong, what I call the seduction of duality, which is underpinned by the need to position things as conflicts in order to feel closer to the warm embrace of a conclusions. </w:t>
      </w:r>
    </w:p>
    <w:p w14:paraId="4D964BD3" w14:textId="77777777" w:rsidR="00076776" w:rsidRDefault="00000000">
      <w:pPr>
        <w:ind w:left="720"/>
      </w:pPr>
      <w:r>
        <w:t xml:space="preserve">@DubClaim = dubious claim, as in a claim or assertion lacking in logic, or so </w:t>
      </w:r>
      <w:r>
        <w:rPr>
          <w:i/>
        </w:rPr>
        <w:t>clearly</w:t>
      </w:r>
      <w:r>
        <w:t xml:space="preserve"> relies on cultural bias that it reads like some </w:t>
      </w:r>
      <w:proofErr w:type="gramStart"/>
      <w:r>
        <w:t>pretty weak</w:t>
      </w:r>
      <w:proofErr w:type="gramEnd"/>
      <w:r>
        <w:t xml:space="preserve"> tea. </w:t>
      </w:r>
    </w:p>
    <w:p w14:paraId="19E7CA4D" w14:textId="77777777" w:rsidR="00076776" w:rsidRDefault="00000000">
      <w:pPr>
        <w:ind w:left="720"/>
      </w:pPr>
      <w:r>
        <w:t>@Ebook = digital editions, and their development as distinct from printed books.</w:t>
      </w:r>
    </w:p>
    <w:p w14:paraId="6C48ADFB" w14:textId="77777777" w:rsidR="00076776" w:rsidRDefault="00000000">
      <w:pPr>
        <w:ind w:left="720"/>
      </w:pPr>
      <w:r>
        <w:t xml:space="preserve">@Eco = environment, environmental issues, environmentalism, and characterizations of the same. </w:t>
      </w:r>
    </w:p>
    <w:p w14:paraId="3B47775C" w14:textId="77777777" w:rsidR="00076776" w:rsidRDefault="00000000">
      <w:pPr>
        <w:ind w:left="720"/>
      </w:pPr>
      <w:r>
        <w:t xml:space="preserve">@EcoTech = anything to do with the </w:t>
      </w:r>
      <w:proofErr w:type="gramStart"/>
      <w:r>
        <w:t>affect</w:t>
      </w:r>
      <w:proofErr w:type="gramEnd"/>
      <w:r>
        <w:t xml:space="preserve"> that the technology field has on the environment, through mining, worker inequalities, disposal, power consumption, and other related factors often ignored. For example, Linux may be open source, but without significant skills and time, it </w:t>
      </w:r>
      <w:hyperlink r:id="rId13">
        <w:r w:rsidR="00076776">
          <w:rPr>
            <w:color w:val="0563C1"/>
            <w:u w:val="single"/>
          </w:rPr>
          <w:t>can kill batteries faster than commercial distros</w:t>
        </w:r>
      </w:hyperlink>
      <w:r>
        <w:t xml:space="preserve">. </w:t>
      </w:r>
    </w:p>
    <w:p w14:paraId="3FBAE3F5" w14:textId="77777777" w:rsidR="00076776" w:rsidRDefault="00000000">
      <w:pPr>
        <w:ind w:left="720"/>
      </w:pPr>
      <w:r>
        <w:t xml:space="preserve">@EG = an example that supports a hypothesis, or a reflection on a given subject. </w:t>
      </w:r>
    </w:p>
    <w:p w14:paraId="7FC7F82E" w14:textId="77777777" w:rsidR="00076776" w:rsidRDefault="00000000">
      <w:pPr>
        <w:ind w:left="720"/>
      </w:pPr>
      <w:r>
        <w:t xml:space="preserve">@Epistem = epistemology, as in how one comes to knowledge through expected cognition or ways of knowing. More </w:t>
      </w:r>
      <w:hyperlink r:id="rId14">
        <w:r w:rsidR="00076776">
          <w:rPr>
            <w:color w:val="0563C1"/>
            <w:u w:val="single"/>
          </w:rPr>
          <w:t>here</w:t>
        </w:r>
      </w:hyperlink>
      <w:r>
        <w:t xml:space="preserve">. </w:t>
      </w:r>
    </w:p>
    <w:p w14:paraId="3588F62C" w14:textId="77777777" w:rsidR="00076776" w:rsidRDefault="00000000">
      <w:pPr>
        <w:ind w:left="720"/>
      </w:pPr>
      <w:r>
        <w:t xml:space="preserve">@Erase = the persistent (settler) belief that a toponymic change equates to a historical change; on other words, by changing or “removing” a name, one puts History under erasure. </w:t>
      </w:r>
    </w:p>
    <w:p w14:paraId="6258BA64" w14:textId="77777777" w:rsidR="00076776" w:rsidRDefault="00000000">
      <w:pPr>
        <w:ind w:left="720"/>
      </w:pPr>
      <w:r>
        <w:t xml:space="preserve">@FB = false balance: a media or academic bias in which one presents an issue as being more balanced between opposing viewpoints than the evidence supports; a kind of </w:t>
      </w:r>
      <w:hyperlink r:id="rId15">
        <w:r w:rsidR="00076776">
          <w:rPr>
            <w:color w:val="0563C1"/>
            <w:u w:val="single"/>
          </w:rPr>
          <w:t>argument to moderation</w:t>
        </w:r>
      </w:hyperlink>
      <w:r>
        <w:t xml:space="preserve">. </w:t>
      </w:r>
    </w:p>
    <w:p w14:paraId="00F38851" w14:textId="77777777" w:rsidR="00076776" w:rsidRDefault="00000000">
      <w:pPr>
        <w:ind w:left="720"/>
      </w:pPr>
      <w:r>
        <w:lastRenderedPageBreak/>
        <w:t xml:space="preserve">@Fem = feminism, either indicative of, or an attack upon. </w:t>
      </w:r>
    </w:p>
    <w:p w14:paraId="19C133D1" w14:textId="77777777" w:rsidR="00076776" w:rsidRDefault="00000000">
      <w:pPr>
        <w:ind w:left="720"/>
      </w:pPr>
      <w:r>
        <w:t xml:space="preserve">@FFessay= Focused Field essay idea, or content for a section in an existing one in the </w:t>
      </w:r>
      <w:hyperlink w:anchor="_heading=h.1mrcu09">
        <w:r w:rsidR="00076776">
          <w:rPr>
            <w:color w:val="0563C1"/>
            <w:u w:val="single"/>
          </w:rPr>
          <w:t>Essay answers section</w:t>
        </w:r>
      </w:hyperlink>
      <w:r>
        <w:t>.</w:t>
      </w:r>
    </w:p>
    <w:p w14:paraId="23ED88BC" w14:textId="77777777" w:rsidR="00076776" w:rsidRDefault="00000000">
      <w:pPr>
        <w:ind w:left="720"/>
      </w:pPr>
      <w:r>
        <w:t>@4see = foresee, as in the eerie way that a prediction came to pass, particularly with respect to a technology or communications-related outcome.</w:t>
      </w:r>
    </w:p>
    <w:p w14:paraId="6AA34EED" w14:textId="77777777" w:rsidR="00076776" w:rsidRDefault="00000000">
      <w:pPr>
        <w:ind w:left="720"/>
      </w:pPr>
      <w:r>
        <w:t xml:space="preserve">@GapAn = gap-analysis, as in pointing to a hole, division, or blind spot that requires investigation, as addressed by a stated thesis. </w:t>
      </w:r>
    </w:p>
    <w:p w14:paraId="1617CC41" w14:textId="77777777" w:rsidR="00076776" w:rsidRDefault="00000000">
      <w:pPr>
        <w:ind w:left="720"/>
      </w:pPr>
      <w:r>
        <w:t xml:space="preserve">@Geno = genocide, specifically, in the context of Indigenous Peoples, as in either acts of it, or what settlers might not see as genocide, but should. </w:t>
      </w:r>
    </w:p>
    <w:p w14:paraId="2A0395EF" w14:textId="77777777" w:rsidR="00076776" w:rsidRDefault="00000000">
      <w:pPr>
        <w:ind w:left="720"/>
      </w:pPr>
      <w:r>
        <w:t xml:space="preserve">@Gov = government, as in “initiatives,” interests, hegemonic entrenchment, action/inaction. </w:t>
      </w:r>
    </w:p>
    <w:p w14:paraId="669BADC4" w14:textId="77777777" w:rsidR="00076776" w:rsidRDefault="00000000">
      <w:pPr>
        <w:ind w:left="720"/>
      </w:pPr>
      <w:r>
        <w:t xml:space="preserve">@Guffaw! = you guessed it: something hilarious, outrageous, face-palm worthy, or all three. </w:t>
      </w:r>
    </w:p>
    <w:p w14:paraId="7D661E07" w14:textId="77777777" w:rsidR="00076776" w:rsidRDefault="00000000">
      <w:pPr>
        <w:ind w:left="720"/>
      </w:pPr>
      <w:r>
        <w:t xml:space="preserve">@HCI = human-computer interaction, in </w:t>
      </w:r>
      <w:hyperlink r:id="rId16">
        <w:r w:rsidR="00076776">
          <w:rPr>
            <w:color w:val="0563C1"/>
            <w:u w:val="single"/>
          </w:rPr>
          <w:t>the conventional, technological sense</w:t>
        </w:r>
      </w:hyperlink>
      <w:r>
        <w:t xml:space="preserve">, but I focus on the drive for the invisible “interface,” the absence of a “computer” presence, which could range from </w:t>
      </w:r>
      <w:proofErr w:type="gramStart"/>
      <w:r>
        <w:t>touch-screens</w:t>
      </w:r>
      <w:proofErr w:type="gramEnd"/>
      <w:r>
        <w:t xml:space="preserve"> to human-like AI. </w:t>
      </w:r>
    </w:p>
    <w:p w14:paraId="519AECFA" w14:textId="77777777" w:rsidR="00076776" w:rsidRDefault="00000000">
      <w:pPr>
        <w:ind w:left="720"/>
      </w:pPr>
      <w:r>
        <w:t xml:space="preserve">@Hegem = usually a Western one, but not always, this tag indicates the things that one might find innocuous, normal, or “neutral,” but are </w:t>
      </w:r>
      <w:proofErr w:type="gramStart"/>
      <w:r>
        <w:t>really very</w:t>
      </w:r>
      <w:proofErr w:type="gramEnd"/>
      <w:r>
        <w:t xml:space="preserve"> culturally informed and maintained through power structures of the state and other institutions (hospitals, schools, churches, etc.). </w:t>
      </w:r>
    </w:p>
    <w:p w14:paraId="3F820504" w14:textId="77777777" w:rsidR="00076776" w:rsidRDefault="00000000">
      <w:pPr>
        <w:ind w:left="720"/>
      </w:pPr>
      <w:r>
        <w:t>@Hist = general or world history.</w:t>
      </w:r>
    </w:p>
    <w:p w14:paraId="7A074E41" w14:textId="77777777" w:rsidR="00076776" w:rsidRDefault="00000000">
      <w:pPr>
        <w:ind w:left="720"/>
      </w:pPr>
      <w:r>
        <w:t xml:space="preserve">@IK = Indigenous knowledges and methodologies, and characterizations and definitions of the same. </w:t>
      </w:r>
    </w:p>
    <w:p w14:paraId="055211B9" w14:textId="77777777" w:rsidR="00076776" w:rsidRDefault="00000000">
      <w:pPr>
        <w:ind w:left="720"/>
      </w:pPr>
      <w:r>
        <w:t xml:space="preserve">@Imm = immigration, and its various definitions and hegemonic constructions. </w:t>
      </w:r>
    </w:p>
    <w:p w14:paraId="387E8E4B" w14:textId="77777777" w:rsidR="00076776" w:rsidRDefault="00000000">
      <w:pPr>
        <w:ind w:left="720"/>
      </w:pPr>
      <w:r>
        <w:t xml:space="preserve">@IP = intellectual property, particularly as it relates to the sharing of Indigenous Knowledges and protocols on the same. </w:t>
      </w:r>
    </w:p>
    <w:p w14:paraId="6A25B3E7" w14:textId="77777777" w:rsidR="00076776" w:rsidRDefault="00000000">
      <w:pPr>
        <w:ind w:left="720"/>
      </w:pPr>
      <w:r>
        <w:t xml:space="preserve">@IPol = identity, in terms of race, gender, class, sex, etc., or any other group that connects to identity politics (formerly @Ident). </w:t>
      </w:r>
    </w:p>
    <w:p w14:paraId="43738AE5" w14:textId="77777777" w:rsidR="00076776" w:rsidRDefault="00000000">
      <w:pPr>
        <w:ind w:left="720"/>
      </w:pPr>
      <w:r>
        <w:t xml:space="preserve">@Indig = of or related to issues of Indigenous representation, voice, and self-determination. </w:t>
      </w:r>
    </w:p>
    <w:p w14:paraId="42A45533" w14:textId="77777777" w:rsidR="00076776" w:rsidRDefault="00000000">
      <w:pPr>
        <w:ind w:left="720"/>
      </w:pPr>
      <w:r>
        <w:t xml:space="preserve">@IndLaw = Indigenous law(s). </w:t>
      </w:r>
    </w:p>
    <w:p w14:paraId="35654F7C" w14:textId="77777777" w:rsidR="00076776" w:rsidRDefault="00000000">
      <w:pPr>
        <w:ind w:left="720"/>
      </w:pPr>
      <w:r>
        <w:t xml:space="preserve">@IndHist = Indigenous histories, including those manufactured by settlers in such a way as to maintain the colonial status-quo. This could touch on issues of land appropriation, ownership, and rights. </w:t>
      </w:r>
    </w:p>
    <w:p w14:paraId="0AA7063E" w14:textId="77777777" w:rsidR="00076776" w:rsidRDefault="00000000">
      <w:pPr>
        <w:ind w:left="720"/>
      </w:pPr>
      <w:r>
        <w:t xml:space="preserve">@ITop = Indigenous place name (toponym). </w:t>
      </w:r>
    </w:p>
    <w:p w14:paraId="44A722DC" w14:textId="77777777" w:rsidR="00076776" w:rsidRDefault="00000000">
      <w:pPr>
        <w:ind w:left="720"/>
      </w:pPr>
      <w:r>
        <w:t xml:space="preserve">@Indigitization = related to the Indigenization of technology, or its prevention, which could include Indigenous presences or absences in the DH community and content. </w:t>
      </w:r>
    </w:p>
    <w:p w14:paraId="5AF11D73" w14:textId="77777777" w:rsidR="00076776" w:rsidRDefault="00000000">
      <w:pPr>
        <w:ind w:left="720"/>
      </w:pPr>
      <w:r>
        <w:t>@Internet = anything to do with the Internet proper, its creation or its ethical ambiguities.</w:t>
      </w:r>
    </w:p>
    <w:p w14:paraId="6F03A236" w14:textId="77777777" w:rsidR="00076776" w:rsidRDefault="00000000">
      <w:pPr>
        <w:ind w:left="720"/>
      </w:pPr>
      <w:r>
        <w:t xml:space="preserve">@IR = Indigenous “resurgence,” in quotes, as this is a controversial term and one under construction. In this case, IR identifies the gaps between Indigenous initiatives for self-determination and the settler acceptance and </w:t>
      </w:r>
      <w:r>
        <w:rPr>
          <w:i/>
        </w:rPr>
        <w:t>actual recognition</w:t>
      </w:r>
      <w:r>
        <w:t xml:space="preserve"> and reaction on a structural level. </w:t>
      </w:r>
    </w:p>
    <w:p w14:paraId="7972DEDC" w14:textId="77777777" w:rsidR="00076776" w:rsidRDefault="00000000">
      <w:pPr>
        <w:ind w:left="720"/>
      </w:pPr>
      <w:r>
        <w:t xml:space="preserve">@IRev = Industrial Revolution, in the sense of both the historical era, and its causalities and legacies. </w:t>
      </w:r>
    </w:p>
    <w:p w14:paraId="46DC97AE" w14:textId="77777777" w:rsidR="00076776" w:rsidRDefault="00000000">
      <w:pPr>
        <w:ind w:left="720"/>
      </w:pPr>
      <w:r>
        <w:t xml:space="preserve">@ISr = Indigenous-settler relations. </w:t>
      </w:r>
    </w:p>
    <w:p w14:paraId="17B3CE7F" w14:textId="77777777" w:rsidR="00076776" w:rsidRDefault="00000000">
      <w:pPr>
        <w:ind w:left="720"/>
      </w:pPr>
      <w:r>
        <w:lastRenderedPageBreak/>
        <w:t xml:space="preserve">@Irony = all the varieties of irony, but usually when someone writes something that </w:t>
      </w:r>
      <w:proofErr w:type="gramStart"/>
      <w:r>
        <w:t>actually reflects</w:t>
      </w:r>
      <w:proofErr w:type="gramEnd"/>
      <w:r>
        <w:t xml:space="preserve"> its truth, unintentionally, or its opposite. </w:t>
      </w:r>
    </w:p>
    <w:p w14:paraId="6805A145" w14:textId="77777777" w:rsidR="00076776" w:rsidRDefault="00000000">
      <w:pPr>
        <w:ind w:left="720"/>
      </w:pPr>
      <w:r>
        <w:t>@Intertext = intertextual, as in the things we looked at in Lincoln’s seminar.</w:t>
      </w:r>
    </w:p>
    <w:p w14:paraId="3B08CAAE" w14:textId="77777777" w:rsidR="00076776" w:rsidRDefault="00000000">
      <w:pPr>
        <w:ind w:left="720"/>
      </w:pPr>
      <w:r>
        <w:t>@Key = a key point that will likely yield a useful quote. This one’s pretty broad, unfortunately.</w:t>
      </w:r>
    </w:p>
    <w:p w14:paraId="5B543D4A" w14:textId="77777777" w:rsidR="00076776" w:rsidRDefault="00000000">
      <w:pPr>
        <w:ind w:firstLine="720"/>
      </w:pPr>
      <w:r>
        <w:t xml:space="preserve">@Knote = my own notes or thoughts on a given passage. </w:t>
      </w:r>
    </w:p>
    <w:p w14:paraId="49C0360B" w14:textId="77777777" w:rsidR="00076776" w:rsidRDefault="00000000">
      <w:pPr>
        <w:ind w:firstLine="720"/>
      </w:pPr>
      <w:r>
        <w:t xml:space="preserve">@K? = my question on a given passage. This will likely occur alongside a @Knote. </w:t>
      </w:r>
    </w:p>
    <w:p w14:paraId="6DE62EFE" w14:textId="77777777" w:rsidR="00076776" w:rsidRDefault="00000000">
      <w:pPr>
        <w:ind w:firstLine="720"/>
      </w:pPr>
      <w:r>
        <w:t xml:space="preserve">@KTerm = some fancy-pants term that I </w:t>
      </w:r>
      <w:proofErr w:type="gramStart"/>
      <w:r>
        <w:t>invent, or</w:t>
      </w:r>
      <w:proofErr w:type="gramEnd"/>
      <w:r>
        <w:t xml:space="preserve"> at least think that I have. </w:t>
      </w:r>
    </w:p>
    <w:p w14:paraId="32A5AECD" w14:textId="77777777" w:rsidR="00076776" w:rsidRDefault="00000000">
      <w:pPr>
        <w:ind w:left="720"/>
      </w:pPr>
      <w:r>
        <w:t xml:space="preserve">@Kzone = something Krishnamurti-like, or reflective of his approach to attention and inquiry. </w:t>
      </w:r>
    </w:p>
    <w:p w14:paraId="192FB0F0" w14:textId="77777777" w:rsidR="00076776" w:rsidRDefault="00000000">
      <w:pPr>
        <w:ind w:left="720"/>
      </w:pPr>
      <w:r>
        <w:t xml:space="preserve">@L? = “land question,” settler and Indigenous characterizations of it, and approaches to addressing or ignoring it. </w:t>
      </w:r>
    </w:p>
    <w:p w14:paraId="55A39F15" w14:textId="77777777" w:rsidR="00076776" w:rsidRDefault="00000000">
      <w:pPr>
        <w:ind w:left="720"/>
      </w:pPr>
      <w:r>
        <w:t>@Ling = linguistics, as in the structure and history of language.</w:t>
      </w:r>
    </w:p>
    <w:p w14:paraId="011AD5CE" w14:textId="77777777" w:rsidR="00076776" w:rsidRDefault="00000000">
      <w:pPr>
        <w:ind w:left="720"/>
      </w:pPr>
      <w:r>
        <w:t xml:space="preserve">@Link = connects to another reading or idea, or association, given with the writer’s name, as in this example: </w:t>
      </w:r>
      <w:r>
        <w:rPr>
          <w:highlight w:val="magenta"/>
        </w:rPr>
        <w:t>@</w:t>
      </w:r>
      <w:proofErr w:type="gramStart"/>
      <w:r>
        <w:rPr>
          <w:highlight w:val="magenta"/>
        </w:rPr>
        <w:t>Link</w:t>
      </w:r>
      <w:r>
        <w:t>:Marx</w:t>
      </w:r>
      <w:proofErr w:type="gramEnd"/>
      <w:r>
        <w:t xml:space="preserve">. </w:t>
      </w:r>
    </w:p>
    <w:p w14:paraId="7D88E5E5" w14:textId="77777777" w:rsidR="00076776" w:rsidRDefault="00000000">
      <w:pPr>
        <w:ind w:left="720"/>
      </w:pPr>
      <w:r>
        <w:t>@LitThe = literary theory, in the broadest sense, especially understanding the role of historical context (historicism) in interpretation as well as the relevance of linguistic and unconscious elements of the text.</w:t>
      </w:r>
    </w:p>
    <w:p w14:paraId="07E88CE3" w14:textId="77777777" w:rsidR="00076776" w:rsidRDefault="00000000">
      <w:pPr>
        <w:ind w:left="720"/>
      </w:pPr>
      <w:r>
        <w:t xml:space="preserve">@ManDest = manifest destiny in the sense of both the rise of Western types of cognitive imperialism (there is a separate tag for that) and in the characterizations, zealotry, and promotion of the inevitability of technology’s rise and continues expansion, and often, a sublimated expectation of rapture through Armageddon. </w:t>
      </w:r>
    </w:p>
    <w:p w14:paraId="7F71A7B8" w14:textId="77777777" w:rsidR="00076776" w:rsidRDefault="00000000">
      <w:pPr>
        <w:ind w:left="720"/>
      </w:pPr>
      <w:r>
        <w:t xml:space="preserve">@TechDest to separate the sociopolitical from the technological versions of this trope. </w:t>
      </w:r>
    </w:p>
    <w:p w14:paraId="463C3415" w14:textId="77777777" w:rsidR="00076776" w:rsidRDefault="00000000">
      <w:pPr>
        <w:ind w:left="720"/>
      </w:pPr>
      <w:r>
        <w:t xml:space="preserve">@Manifest = manifesto: a passage with all the pomp and purpose of a political or philosophical call to arms. </w:t>
      </w:r>
    </w:p>
    <w:p w14:paraId="0EA6D53C" w14:textId="77777777" w:rsidR="00076776" w:rsidRDefault="00000000">
      <w:pPr>
        <w:ind w:left="720"/>
      </w:pPr>
      <w:r>
        <w:t xml:space="preserve">@Maps = all things maps and cartography, in the physical and ideological sense. </w:t>
      </w:r>
    </w:p>
    <w:p w14:paraId="314F1CD7" w14:textId="77777777" w:rsidR="00076776" w:rsidRDefault="00000000">
      <w:pPr>
        <w:ind w:left="720"/>
      </w:pPr>
      <w:r>
        <w:t>@MechDopp = my old idea of the “</w:t>
      </w:r>
      <w:proofErr w:type="spellStart"/>
      <w:r>
        <w:t>mechadoppleganger</w:t>
      </w:r>
      <w:proofErr w:type="spellEnd"/>
      <w:r>
        <w:t xml:space="preserve">,” when technology finds ways to create extensions of the human body, or consciousness, metaphorically or physically, and these representations or projections are freakish, limited, or clearly absent of anything approaching fulsome humanity, yet the rhetoric around these things suggests otherwise. </w:t>
      </w:r>
    </w:p>
    <w:p w14:paraId="431226DE" w14:textId="77777777" w:rsidR="00076776" w:rsidRDefault="00000000">
      <w:pPr>
        <w:ind w:left="720"/>
      </w:pPr>
      <w:r>
        <w:t xml:space="preserve">@Media = about media as a practice and technology, such as photography, film, radio, etc., and this includes the history of the same. For now, music is in this category, until enough instances of its mention </w:t>
      </w:r>
      <w:proofErr w:type="gramStart"/>
      <w:r>
        <w:t>requires</w:t>
      </w:r>
      <w:proofErr w:type="gramEnd"/>
      <w:r>
        <w:t xml:space="preserve"> a separate category. </w:t>
      </w:r>
    </w:p>
    <w:p w14:paraId="2A69E66B" w14:textId="77777777" w:rsidR="00076776" w:rsidRDefault="00000000">
      <w:pPr>
        <w:ind w:left="720"/>
      </w:pPr>
      <w:r>
        <w:t xml:space="preserve">@Military = specific mentions of the military’s involvement, or ethos, in the development of technologies, as in the development of the Internet. </w:t>
      </w:r>
    </w:p>
    <w:p w14:paraId="3BB9738F" w14:textId="77777777" w:rsidR="00076776" w:rsidRDefault="00000000">
      <w:pPr>
        <w:ind w:left="720"/>
      </w:pPr>
      <w:r>
        <w:t xml:space="preserve">@Monster = monstrous, as in representations of malformations of the body or psychology, such that it/they represent something abhorrent. </w:t>
      </w:r>
    </w:p>
    <w:p w14:paraId="549302E0" w14:textId="77777777" w:rsidR="00076776" w:rsidRDefault="00000000">
      <w:pPr>
        <w:ind w:firstLine="720"/>
      </w:pPr>
      <w:r>
        <w:t xml:space="preserve">@Motherlode = a quote of pure gold, something quintessential to </w:t>
      </w:r>
      <w:r>
        <w:rPr>
          <w:i/>
        </w:rPr>
        <w:t>my</w:t>
      </w:r>
      <w:r>
        <w:t xml:space="preserve"> work. </w:t>
      </w:r>
    </w:p>
    <w:p w14:paraId="26E2219F" w14:textId="77777777" w:rsidR="00076776" w:rsidRDefault="00000000">
      <w:pPr>
        <w:ind w:left="720"/>
      </w:pPr>
      <w:r>
        <w:t xml:space="preserve">@Narrative = the compulsion toward narrative, or the primacy of narrative against other concerns of identity; the need to create and uphold narratives and narrativization. </w:t>
      </w:r>
    </w:p>
    <w:p w14:paraId="4C3086DC" w14:textId="77777777" w:rsidR="00076776" w:rsidRDefault="00000000">
      <w:pPr>
        <w:ind w:left="720"/>
      </w:pPr>
      <w:r>
        <w:t xml:space="preserve">@NeoCol = neocolonial, insofar as a tendency to inadvertently or by intention recreate, re-instantiate, redeploy colonialism in new “territories” deemed as either culturally neutral/empty—such as the Internet, Wikipedia, social media—or as technological “frontiers”—such as biotechnology, nanotechnology, and cybernetics. This extends into moves of “recolonization:” acts that merely entrench colonialism while seeking its opposite. </w:t>
      </w:r>
    </w:p>
    <w:p w14:paraId="7CB2854D" w14:textId="77777777" w:rsidR="00076776" w:rsidRDefault="00000000">
      <w:pPr>
        <w:ind w:left="720"/>
      </w:pPr>
      <w:r>
        <w:lastRenderedPageBreak/>
        <w:t xml:space="preserve">@NeoLib = neoliberalism, usually in the sense of the myth of the non-racialized utopia, especially </w:t>
      </w:r>
      <w:proofErr w:type="spellStart"/>
      <w:r>
        <w:t>techtopia</w:t>
      </w:r>
      <w:proofErr w:type="spellEnd"/>
      <w:r>
        <w:t xml:space="preserve">, in which the so-called “humanitarian mission” of technology for “all” is really, as Nakamura says, through Vijay Prashad, “the greatest problem of the twenty-first century—the ‘color-blind’ replaces the color line as the prevailing practice that permits resources to be unevenly allocated based on racial identities” (3). I would call this </w:t>
      </w:r>
      <w:proofErr w:type="spellStart"/>
      <w:r>
        <w:t>technoliberalism</w:t>
      </w:r>
      <w:proofErr w:type="spellEnd"/>
      <w:r>
        <w:t xml:space="preserve">. </w:t>
      </w:r>
    </w:p>
    <w:p w14:paraId="67B0E3F1" w14:textId="77777777" w:rsidR="00076776" w:rsidRDefault="00000000">
      <w:pPr>
        <w:ind w:left="720"/>
      </w:pPr>
      <w:r>
        <w:t>@</w:t>
      </w:r>
      <w:r>
        <w:rPr>
          <w:highlight w:val="red"/>
        </w:rPr>
        <w:t>NTS</w:t>
      </w:r>
      <w:r>
        <w:t xml:space="preserve"> = Note </w:t>
      </w:r>
      <w:proofErr w:type="gramStart"/>
      <w:r>
        <w:t>To</w:t>
      </w:r>
      <w:proofErr w:type="gramEnd"/>
      <w:r>
        <w:t xml:space="preserve"> Self, something to look-up, later, that might be worthwhile, or a basic To-Do. </w:t>
      </w:r>
    </w:p>
    <w:p w14:paraId="08256FE4" w14:textId="77777777" w:rsidR="00076776" w:rsidRDefault="00000000">
      <w:pPr>
        <w:ind w:left="720"/>
      </w:pPr>
      <w:r>
        <w:t xml:space="preserve">@Offic = officious, as in the tendency in the West to turn everything into an administrative nebula, with leadership nodes, bureaucratic impenetrability, and self-supporting administrative classes. Basically, that shows evidence of that mangled quote that humans are bald monkeys with a talent for administration. </w:t>
      </w:r>
    </w:p>
    <w:p w14:paraId="1F42416A" w14:textId="77777777" w:rsidR="00076776" w:rsidRDefault="00000000">
      <w:pPr>
        <w:ind w:left="720"/>
      </w:pPr>
      <w:r>
        <w:t>@Ontol = relates to how one’s worldview is constructed or maintained: a view of where one, or one’s society and beliefs, fits into broader understandings of the universe, creation, and humanity’s spiritual destinies.</w:t>
      </w:r>
    </w:p>
    <w:p w14:paraId="4BD45334" w14:textId="77777777" w:rsidR="00076776" w:rsidRDefault="00000000">
      <w:pPr>
        <w:ind w:left="720"/>
      </w:pPr>
      <w:r>
        <w:t xml:space="preserve">@OralEx = oral exam: a subject, passage, or idea that you want to bring before the committee for feedback or discussion. </w:t>
      </w:r>
    </w:p>
    <w:p w14:paraId="2B88C79C" w14:textId="77777777" w:rsidR="00076776" w:rsidRDefault="00000000">
      <w:pPr>
        <w:ind w:left="720"/>
      </w:pPr>
      <w:r>
        <w:t xml:space="preserve">@OET = Oral exam term, that is, a term worth a mention in the oral exam. </w:t>
      </w:r>
    </w:p>
    <w:p w14:paraId="395E7DB8" w14:textId="77777777" w:rsidR="00076776" w:rsidRDefault="00000000">
      <w:pPr>
        <w:ind w:left="720"/>
      </w:pPr>
      <w:r>
        <w:t xml:space="preserve">@Other = the act of “othering” in the overt and tacit sense. </w:t>
      </w:r>
    </w:p>
    <w:p w14:paraId="7909D1B5" w14:textId="77777777" w:rsidR="00076776" w:rsidRDefault="00000000">
      <w:pPr>
        <w:ind w:left="720"/>
      </w:pPr>
      <w:r>
        <w:t xml:space="preserve">@Phenom = phenomenology, as in how we experience ‘phenomena’ (i.e. things as apprehended by consciousness) rather than on the existence of anything outside of human consciousness, the structures of consciousness as experienced from the first-person point of view. </w:t>
      </w:r>
    </w:p>
    <w:p w14:paraId="08BF131B" w14:textId="77777777" w:rsidR="00076776" w:rsidRDefault="00000000">
      <w:pPr>
        <w:ind w:left="720"/>
      </w:pPr>
      <w:r>
        <w:t xml:space="preserve">@Perf = performance, as in performance as practice, in the theatrical or literary-theory sense. </w:t>
      </w:r>
    </w:p>
    <w:p w14:paraId="254C9A26" w14:textId="77777777" w:rsidR="00076776" w:rsidRDefault="00000000">
      <w:pPr>
        <w:ind w:left="720"/>
      </w:pPr>
      <w:r>
        <w:t xml:space="preserve">@Poetry = poetry, including passages, praise, and textual analysis. </w:t>
      </w:r>
    </w:p>
    <w:p w14:paraId="06C26525" w14:textId="77777777" w:rsidR="00076776" w:rsidRDefault="00000000">
      <w:pPr>
        <w:ind w:left="720"/>
      </w:pPr>
      <w:r>
        <w:t xml:space="preserve">@PopCult = popular culture, in the media sense: music, videos, movies, video games, etc. </w:t>
      </w:r>
    </w:p>
    <w:p w14:paraId="6AAEFEE7" w14:textId="77777777" w:rsidR="00076776" w:rsidRDefault="00000000">
      <w:pPr>
        <w:ind w:left="720"/>
      </w:pPr>
      <w:r>
        <w:t xml:space="preserve">@Prose = shows a shift in attitudes or practices in the written word, as connected, especially, to its relationship to cultural identities, hegemonies, and power dynamics. </w:t>
      </w:r>
    </w:p>
    <w:p w14:paraId="5675C22D" w14:textId="77777777" w:rsidR="00076776" w:rsidRDefault="00000000">
      <w:pPr>
        <w:ind w:left="720"/>
      </w:pPr>
      <w:r>
        <w:t xml:space="preserve">@Proto = cultural protocols. </w:t>
      </w:r>
    </w:p>
    <w:p w14:paraId="7EA72584" w14:textId="77777777" w:rsidR="00076776" w:rsidRDefault="00000000">
      <w:pPr>
        <w:ind w:left="720"/>
      </w:pPr>
      <w:r>
        <w:t>@Pub = publishing, including the history of, and as distinct from @BookHist.</w:t>
      </w:r>
    </w:p>
    <w:p w14:paraId="6D572BBE" w14:textId="77777777" w:rsidR="00076776" w:rsidRDefault="00000000">
      <w:pPr>
        <w:ind w:left="720"/>
      </w:pPr>
      <w:r>
        <w:t xml:space="preserve">@Racial = issues of racialization, racial politics, or racialized identities. </w:t>
      </w:r>
    </w:p>
    <w:p w14:paraId="4435FC5A" w14:textId="77777777" w:rsidR="00076776" w:rsidRDefault="00000000">
      <w:pPr>
        <w:ind w:left="720"/>
      </w:pPr>
      <w:r>
        <w:t>@Racism = straight-up racist bullshit!</w:t>
      </w:r>
    </w:p>
    <w:p w14:paraId="661EEAED" w14:textId="77777777" w:rsidR="00076776" w:rsidRDefault="00000000">
      <w:pPr>
        <w:ind w:left="720"/>
      </w:pPr>
      <w:r>
        <w:t>@Reason = the propagation of the West’s obsession with reason, and what I think of as false rationality: that somehow emotions can be divorced from the operations of the mind and that objectivity is possible—if this is true, try having a thought without a feeling, or without using feelings to describe it. This also covers Kant’s principles of enlightenment “to make public use of one’s reason in all matters” (“</w:t>
      </w:r>
      <w:hyperlink r:id="rId17">
        <w:r w:rsidR="00076776">
          <w:rPr>
            <w:color w:val="0563C1"/>
            <w:u w:val="single"/>
          </w:rPr>
          <w:t>What is Enlightenment?</w:t>
        </w:r>
      </w:hyperlink>
      <w:r>
        <w:t>“)</w:t>
      </w:r>
    </w:p>
    <w:p w14:paraId="4B2764F5" w14:textId="77777777" w:rsidR="00076776" w:rsidRDefault="00000000">
      <w:pPr>
        <w:ind w:left="720"/>
      </w:pPr>
      <w:r>
        <w:t>@Resist! = a way to smash it, being capitalism, the patriarchy, or any other whitey-driven hegemony; this is kind of a way to give kudos.</w:t>
      </w:r>
    </w:p>
    <w:p w14:paraId="4158E332" w14:textId="77777777" w:rsidR="00076776" w:rsidRDefault="00000000">
      <w:pPr>
        <w:ind w:left="720"/>
      </w:pPr>
      <w:r>
        <w:t xml:space="preserve">@Rhet = rhetoric, as in specific to its development or uses and differences from text, or the printed word. </w:t>
      </w:r>
    </w:p>
    <w:p w14:paraId="0A10C6FD" w14:textId="77777777" w:rsidR="00076776" w:rsidRDefault="00000000">
      <w:pPr>
        <w:ind w:left="720"/>
      </w:pPr>
      <w:r>
        <w:t xml:space="preserve">@Science = something related to scientific inquiry, advancement, or entrenchment, or straight-up scientific, like physics, math, astronomy, etc. </w:t>
      </w:r>
    </w:p>
    <w:p w14:paraId="40AE98E0" w14:textId="77777777" w:rsidR="00076776" w:rsidRDefault="00000000">
      <w:pPr>
        <w:ind w:left="720"/>
      </w:pPr>
      <w:r>
        <w:lastRenderedPageBreak/>
        <w:t xml:space="preserve">@SciEnv = science envy in the Humanities, especially in DH, which has a </w:t>
      </w:r>
      <w:proofErr w:type="gramStart"/>
      <w:r>
        <w:t>fairly bad</w:t>
      </w:r>
      <w:proofErr w:type="gramEnd"/>
      <w:r>
        <w:t xml:space="preserve"> case of it at times, mistaking indexing and aggregation for analysis. </w:t>
      </w:r>
    </w:p>
    <w:p w14:paraId="052B8F5D" w14:textId="77777777" w:rsidR="00076776" w:rsidRDefault="00000000">
      <w:pPr>
        <w:ind w:left="720"/>
      </w:pPr>
      <w:r>
        <w:t xml:space="preserve">@SettPsych = evidence of the construction or maintenance of the “settler psychology,” which builds on DiAngelo’s work on “white fragility.” Typically, it points to evidence of the </w:t>
      </w:r>
      <w:proofErr w:type="gramStart"/>
      <w:r>
        <w:t>limits</w:t>
      </w:r>
      <w:proofErr w:type="gramEnd"/>
      <w:r>
        <w:t xml:space="preserve"> settlers </w:t>
      </w:r>
      <w:proofErr w:type="gramStart"/>
      <w:r>
        <w:t>have to</w:t>
      </w:r>
      <w:proofErr w:type="gramEnd"/>
      <w:r>
        <w:t xml:space="preserve"> understanding the land question, or a failure to see or denial of the ways in which western culture is constructed almost exclusively to maintain the settler’s institutional, cultural, ontological, and emotional comforts. </w:t>
      </w:r>
    </w:p>
    <w:p w14:paraId="732788EC" w14:textId="77777777" w:rsidR="00076776" w:rsidRDefault="00000000">
      <w:pPr>
        <w:ind w:left="720"/>
      </w:pPr>
      <w:r>
        <w:t xml:space="preserve">@SettState = settler state, as in the bureaucratic and political processes that create and maintain the settler state, which could be policies, laws, wars, policing, and surveillance. </w:t>
      </w:r>
    </w:p>
    <w:p w14:paraId="4EBCB108" w14:textId="77777777" w:rsidR="00076776" w:rsidRDefault="00000000">
      <w:pPr>
        <w:ind w:left="720"/>
      </w:pPr>
      <w:r>
        <w:t xml:space="preserve">@Sign = semiotics, the nature or conveyance of signs and signifiers. </w:t>
      </w:r>
    </w:p>
    <w:p w14:paraId="37E05DF1" w14:textId="77777777" w:rsidR="00076776" w:rsidRDefault="00000000">
      <w:pPr>
        <w:ind w:left="720"/>
      </w:pPr>
      <w:r>
        <w:t xml:space="preserve">@SJ = social justice work, as in calls for this in the DH field, specifically, as a matter of both ethical and long-term “survival” in the academic-field sense. </w:t>
      </w:r>
    </w:p>
    <w:p w14:paraId="3580BED1" w14:textId="77777777" w:rsidR="00076776" w:rsidRDefault="00000000">
      <w:pPr>
        <w:ind w:left="720"/>
      </w:pPr>
      <w:r>
        <w:t xml:space="preserve">@SocMed = social media or something related to it, usually for how SM has dissolved our brains into limbic, vanity-leeching machines. </w:t>
      </w:r>
    </w:p>
    <w:p w14:paraId="272530B8" w14:textId="77777777" w:rsidR="00076776" w:rsidRDefault="00000000">
      <w:pPr>
        <w:ind w:left="720"/>
      </w:pPr>
      <w:r>
        <w:t xml:space="preserve">@Soma = of the body in some way, as in the corpus or somatic </w:t>
      </w:r>
      <w:proofErr w:type="spellStart"/>
      <w:r>
        <w:t>self portrayed</w:t>
      </w:r>
      <w:proofErr w:type="spellEnd"/>
      <w:r>
        <w:t xml:space="preserve"> as subject/object or as an object of study and experimentation. </w:t>
      </w:r>
    </w:p>
    <w:p w14:paraId="58CABFAF" w14:textId="77777777" w:rsidR="00076776" w:rsidRDefault="00000000">
      <w:pPr>
        <w:ind w:left="720"/>
      </w:pPr>
      <w:r>
        <w:t xml:space="preserve">@Sound = sound or aural studies, and related concepts, such as sound’s effects on consciousness. For now, too, this includes music and radio. </w:t>
      </w:r>
    </w:p>
    <w:p w14:paraId="7528894B" w14:textId="77777777" w:rsidR="00076776" w:rsidRDefault="00000000">
      <w:pPr>
        <w:ind w:left="720"/>
      </w:pPr>
      <w:r>
        <w:t xml:space="preserve">@SpaceImp = spatial imperialism, akin to cognitive imperialism, but to do with maps and toponymies. </w:t>
      </w:r>
    </w:p>
    <w:p w14:paraId="2F27F197" w14:textId="77777777" w:rsidR="00076776" w:rsidRDefault="00000000">
      <w:pPr>
        <w:ind w:left="720"/>
      </w:pPr>
      <w:r>
        <w:t xml:space="preserve">@SpacePlace = space and place, as related to identity, or connection to place or </w:t>
      </w:r>
      <w:proofErr w:type="spellStart"/>
      <w:r>
        <w:t>geospatiality</w:t>
      </w:r>
      <w:proofErr w:type="spellEnd"/>
      <w:r>
        <w:t xml:space="preserve">, including the concept of a </w:t>
      </w:r>
      <w:proofErr w:type="spellStart"/>
      <w:r>
        <w:t>storyscape</w:t>
      </w:r>
      <w:proofErr w:type="spellEnd"/>
      <w:r>
        <w:t xml:space="preserve">. </w:t>
      </w:r>
    </w:p>
    <w:p w14:paraId="2A6C048D" w14:textId="77777777" w:rsidR="00076776" w:rsidRDefault="00000000">
      <w:pPr>
        <w:ind w:left="720"/>
      </w:pPr>
      <w:r>
        <w:t xml:space="preserve">@Stats = statistics, or metrics of note. </w:t>
      </w:r>
    </w:p>
    <w:p w14:paraId="0CF74EC5" w14:textId="77777777" w:rsidR="00076776" w:rsidRDefault="00000000">
      <w:pPr>
        <w:ind w:left="720"/>
      </w:pPr>
      <w:r>
        <w:t xml:space="preserve">@Summ = summary, usually of a section in a text that I might need later, or use for context, but does not appear as critical to my comps. </w:t>
      </w:r>
    </w:p>
    <w:p w14:paraId="0695A23A" w14:textId="77777777" w:rsidR="00076776" w:rsidRDefault="00000000">
      <w:pPr>
        <w:ind w:left="720"/>
      </w:pPr>
      <w:r>
        <w:t xml:space="preserve">@Surveil = surveillance, either by the state, or technology, or both, and typically used toward totalitarian ends of some kind. </w:t>
      </w:r>
    </w:p>
    <w:p w14:paraId="357D4990" w14:textId="77777777" w:rsidR="00076776" w:rsidRDefault="00000000">
      <w:pPr>
        <w:ind w:left="720"/>
      </w:pPr>
      <w:r>
        <w:t xml:space="preserve">@Synec = synecdoche, as in characterizing or mistaking the parts for the whole or the whole for the parts, in the context of the creation of </w:t>
      </w:r>
      <w:proofErr w:type="spellStart"/>
      <w:r>
        <w:t>Techtopia</w:t>
      </w:r>
      <w:proofErr w:type="spellEnd"/>
      <w:r>
        <w:t xml:space="preserve">, in which a narrative of inevitability is built from arbitrary moments in the history of communications or technology. </w:t>
      </w:r>
    </w:p>
    <w:p w14:paraId="227BDF86" w14:textId="77777777" w:rsidR="00076776" w:rsidRDefault="00000000">
      <w:pPr>
        <w:ind w:left="720"/>
      </w:pPr>
      <w:r>
        <w:t xml:space="preserve">@TechDev = technological development of some kind, as distinct from @TextDev, see below. </w:t>
      </w:r>
    </w:p>
    <w:p w14:paraId="053AD2BA" w14:textId="77777777" w:rsidR="00076776" w:rsidRDefault="00000000">
      <w:pPr>
        <w:ind w:left="720"/>
      </w:pPr>
      <w:r>
        <w:t xml:space="preserve">@TechHist = technology history, in the sense of products and outputs for human use. </w:t>
      </w:r>
    </w:p>
    <w:p w14:paraId="3CB2E224" w14:textId="77777777" w:rsidR="00076776" w:rsidRDefault="00000000">
      <w:pPr>
        <w:ind w:left="720"/>
      </w:pPr>
      <w:r>
        <w:t xml:space="preserve">@Technoc = technocracy, which has under its umbrella </w:t>
      </w:r>
      <w:proofErr w:type="spellStart"/>
      <w:r>
        <w:t>technocapitalism</w:t>
      </w:r>
      <w:proofErr w:type="spellEnd"/>
      <w:r>
        <w:t xml:space="preserve"> (my term), which describes that strange dependence that Neoliberal capitalism places on spheres technological, and democratic. It also describes, in the </w:t>
      </w:r>
      <w:proofErr w:type="spellStart"/>
      <w:r>
        <w:t>Marcusian</w:t>
      </w:r>
      <w:proofErr w:type="spellEnd"/>
      <w:r>
        <w:t xml:space="preserve"> sense, the bureaucratic and hierarchical “streamlined autocracy” (146) enforced by technological advance, power, and control. </w:t>
      </w:r>
    </w:p>
    <w:p w14:paraId="359A5E3D" w14:textId="77777777" w:rsidR="00076776" w:rsidRDefault="00000000">
      <w:pPr>
        <w:ind w:left="720"/>
      </w:pPr>
      <w:r>
        <w:t xml:space="preserve">@Techtopia = the vacuous promise that technology, particularly the computer (and by extension, computation, AI, and social media) will somehow, of itself, eliminate the worlds socioeconomic problems, and that this computer revolution will, as Winner puts it so perfectly, “by its sheer momentum, eliminate many of the ills that have vexed political society since the beginning of civilization” (584). </w:t>
      </w:r>
    </w:p>
    <w:p w14:paraId="7E1E17DB" w14:textId="77777777" w:rsidR="00076776" w:rsidRDefault="00000000">
      <w:pPr>
        <w:ind w:left="720"/>
      </w:pPr>
      <w:r>
        <w:t xml:space="preserve">@TextDev = textual development, as distinct from the book as object, and the move from the printed page to the screen/digital interface. </w:t>
      </w:r>
    </w:p>
    <w:p w14:paraId="63863A9F" w14:textId="77777777" w:rsidR="00076776" w:rsidRDefault="00000000">
      <w:pPr>
        <w:ind w:left="720"/>
      </w:pPr>
      <w:r>
        <w:lastRenderedPageBreak/>
        <w:t xml:space="preserve">@Textual = the description or characterization of non-traditional text object (e.g., book) as a text. For example, landscape-as-text, or map-as-text. </w:t>
      </w:r>
    </w:p>
    <w:p w14:paraId="2F83CE96" w14:textId="77777777" w:rsidR="00076776" w:rsidRDefault="00000000">
      <w:pPr>
        <w:ind w:left="720"/>
      </w:pPr>
      <w:r>
        <w:t xml:space="preserve">@Thesis = not just the central thesis, but chapter theses or similarly obvious passages that speak to the aim or argument. </w:t>
      </w:r>
    </w:p>
    <w:p w14:paraId="6E992EC0" w14:textId="77777777" w:rsidR="00076776" w:rsidRDefault="00000000">
      <w:pPr>
        <w:ind w:left="720"/>
      </w:pPr>
      <w:r>
        <w:t xml:space="preserve">@TMI = too much information, not in the over-share sense, but in the info-overload sense, and the Western, academic reaction to this in some way, usually to respond to this as one would an anxiety, which is wholly manufactured in the narrative that “knowledge” is somehow better the more of it you have. </w:t>
      </w:r>
    </w:p>
    <w:p w14:paraId="05A368ED" w14:textId="77777777" w:rsidR="00076776" w:rsidRDefault="00000000">
      <w:pPr>
        <w:ind w:left="720"/>
      </w:pPr>
      <w:r>
        <w:t xml:space="preserve">@Todo = a to-do item. </w:t>
      </w:r>
    </w:p>
    <w:p w14:paraId="68FCF23C" w14:textId="77777777" w:rsidR="00076776" w:rsidRDefault="00000000">
      <w:pPr>
        <w:ind w:left="720"/>
      </w:pPr>
      <w:r>
        <w:t xml:space="preserve">@Topo = toponyms, toponymic practices, such as </w:t>
      </w:r>
      <w:proofErr w:type="spellStart"/>
      <w:r>
        <w:t>gazetteering</w:t>
      </w:r>
      <w:proofErr w:type="spellEnd"/>
      <w:r>
        <w:t xml:space="preserve">, and all the things related to place-naming. </w:t>
      </w:r>
    </w:p>
    <w:p w14:paraId="4AE5D318" w14:textId="77777777" w:rsidR="00076776" w:rsidRDefault="00000000">
      <w:pPr>
        <w:ind w:left="720"/>
      </w:pPr>
      <w:r>
        <w:t xml:space="preserve">@TN = </w:t>
      </w:r>
      <w:r>
        <w:rPr>
          <w:i/>
        </w:rPr>
        <w:t>terra nullius</w:t>
      </w:r>
      <w:r>
        <w:t xml:space="preserve">, and characterizations of lands and space/place, including conceptual spaces like the Internet or databases, as blank slates, or </w:t>
      </w:r>
      <w:proofErr w:type="spellStart"/>
      <w:r>
        <w:rPr>
          <w:i/>
        </w:rPr>
        <w:t>tablua</w:t>
      </w:r>
      <w:proofErr w:type="spellEnd"/>
      <w:r>
        <w:rPr>
          <w:i/>
        </w:rPr>
        <w:t xml:space="preserve"> rasa</w:t>
      </w:r>
      <w:r>
        <w:t xml:space="preserve">, that permanently “awaits” a Western population or ideological perspective. </w:t>
      </w:r>
    </w:p>
    <w:p w14:paraId="6DE01DC0" w14:textId="77777777" w:rsidR="00076776" w:rsidRDefault="00000000">
      <w:pPr>
        <w:ind w:left="720"/>
      </w:pPr>
      <w:r>
        <w:t>@Treaty = Indigenous-settler treaties and issues related to them, directly.</w:t>
      </w:r>
    </w:p>
    <w:p w14:paraId="49E24D61" w14:textId="77777777" w:rsidR="00076776" w:rsidRDefault="00000000">
      <w:pPr>
        <w:ind w:left="720"/>
      </w:pPr>
      <w:r>
        <w:t xml:space="preserve">@Typo = typography, and its development. </w:t>
      </w:r>
    </w:p>
    <w:p w14:paraId="09BF5B08" w14:textId="77777777" w:rsidR="00076776" w:rsidRDefault="00000000">
      <w:pPr>
        <w:ind w:left="720"/>
      </w:pPr>
      <w:r>
        <w:t xml:space="preserve">@Uncanny = as in Freud’s ideas of the uncanny as an agent that “mediates” on behalf of an otherwise abhorrent or suppressed memory or belief. </w:t>
      </w:r>
    </w:p>
    <w:p w14:paraId="0D13FEC0" w14:textId="77777777" w:rsidR="00076776" w:rsidRDefault="00000000">
      <w:pPr>
        <w:ind w:left="720"/>
      </w:pPr>
      <w:r>
        <w:t xml:space="preserve">@UL = use later, in most cases for a paper or approach to describing a phenomenon or epistemological position. </w:t>
      </w:r>
    </w:p>
    <w:p w14:paraId="5320D21B" w14:textId="77777777" w:rsidR="00076776" w:rsidRDefault="00000000">
      <w:pPr>
        <w:ind w:firstLine="720"/>
      </w:pPr>
      <w:r>
        <w:rPr>
          <w:u w:val="single"/>
        </w:rPr>
        <w:t>Underlined</w:t>
      </w:r>
      <w:r>
        <w:t xml:space="preserve"> names = the author quoting someone else in their work. </w:t>
      </w:r>
    </w:p>
    <w:p w14:paraId="2D294527" w14:textId="77777777" w:rsidR="00076776" w:rsidRDefault="00000000">
      <w:pPr>
        <w:ind w:firstLine="720"/>
      </w:pPr>
      <w:r>
        <w:t xml:space="preserve">@VR = virtual reality, in its many forms. </w:t>
      </w:r>
    </w:p>
    <w:p w14:paraId="234EBFDD" w14:textId="77777777" w:rsidR="00076776" w:rsidRDefault="00000000">
      <w:pPr>
        <w:ind w:left="720"/>
      </w:pPr>
      <w:r>
        <w:t xml:space="preserve">@War = mentions of war, usually WWI or WWII, but could expand to definitions of conflicts like the “war” on technology, or drugs. </w:t>
      </w:r>
    </w:p>
    <w:p w14:paraId="1F233AD5" w14:textId="77777777" w:rsidR="00076776" w:rsidRDefault="00000000">
      <w:pPr>
        <w:ind w:left="720"/>
      </w:pPr>
      <w:r>
        <w:t>@Way = wayfinding, as in navigational technologies and practices across cultures.</w:t>
      </w:r>
    </w:p>
    <w:p w14:paraId="2594C40A" w14:textId="77777777" w:rsidR="00076776" w:rsidRDefault="00000000">
      <w:pPr>
        <w:ind w:left="720"/>
      </w:pPr>
      <w:r>
        <w:t>@WestDev = critical to the development of Western traditions, typically as related to literature and media, but not always—this could refer to art, architecture, or institutional development.</w:t>
      </w:r>
    </w:p>
    <w:p w14:paraId="5731721F" w14:textId="77777777" w:rsidR="00076776" w:rsidRDefault="00000000">
      <w:pPr>
        <w:ind w:left="720"/>
      </w:pPr>
      <w:r>
        <w:t xml:space="preserve">@OA = open learning, as in Wikipedia (as DH content makes such frequent mention of it) and other so-called open-access or open learning projects and databases, such as Project Gutenberg, the Internet Archive, or services like Code Academy. </w:t>
      </w:r>
    </w:p>
    <w:p w14:paraId="1EF3FBD6" w14:textId="77777777" w:rsidR="00076776" w:rsidRDefault="00000000">
      <w:pPr>
        <w:ind w:left="720"/>
      </w:pPr>
      <w:r>
        <w:t xml:space="preserve">@XML = Extensible Markup Language, and references to the related, such as mentions of TEI, DTDs, HTML., SGML, etc. </w:t>
      </w:r>
    </w:p>
    <w:p w14:paraId="1110FBCA" w14:textId="6B8E9F70" w:rsidR="00076776" w:rsidRDefault="00000000">
      <w:pPr>
        <w:pStyle w:val="Heading1"/>
      </w:pPr>
      <w:bookmarkStart w:id="4" w:name="_heading=h.3znysh7" w:colFirst="0" w:colLast="0"/>
      <w:bookmarkEnd w:id="4"/>
      <w:r>
        <w:t>&gt;&gt;&gt; “CONTRACOLONIAL” Readings</w:t>
      </w:r>
      <w:r w:rsidR="00BF75F6">
        <w:t xml:space="preserve"> </w:t>
      </w:r>
      <w:r>
        <w:t>&lt;&lt;&lt;</w:t>
      </w:r>
    </w:p>
    <w:p w14:paraId="3FB55F82" w14:textId="77777777" w:rsidR="00BF75F6" w:rsidRPr="00BF75F6" w:rsidRDefault="00BF75F6" w:rsidP="00BF75F6"/>
    <w:p w14:paraId="53982CF4" w14:textId="77777777" w:rsidR="00076776" w:rsidRDefault="00000000">
      <w:r>
        <w:t xml:space="preserve">This section contains notes on readings to do with the attempts to better understand and work towards “decolonization,” by both settler and Indigenous scholars and thinkers. To stick to the Focused Field outcomes as best I can, this means that I look at DC through a DH and technological lens, with the hope to learn about ethical practices and social justice in these areas. I also include readings to do with Indigenous knowledges (IK), methodologies, and ways of learning, as settler attempts to “decolonize” cannot happen without these perspectives and teachings. According to Tuck &amp; Yang, in “Decolonization is Not a Metaphor,” we cannot decolonize unless we’re addressing the land question. </w:t>
      </w:r>
    </w:p>
    <w:p w14:paraId="10016BCE" w14:textId="77777777" w:rsidR="00076776" w:rsidRDefault="00076776"/>
    <w:p w14:paraId="2191652D" w14:textId="77777777" w:rsidR="00076776" w:rsidRDefault="00000000">
      <w:r>
        <w:lastRenderedPageBreak/>
        <w:t xml:space="preserve">Edward Said’s process of contrapuntal reading, from </w:t>
      </w:r>
      <w:r>
        <w:rPr>
          <w:i/>
        </w:rPr>
        <w:t>Culture and Imperialism</w:t>
      </w:r>
      <w:r>
        <w:t xml:space="preserve"> (1993), asks us to read the novel in the light of its structural dependencies—the spaces, places, and cultural realities required to make the story possible—and read the forgotten other back into the text (Oxford Ref.). Maybe the </w:t>
      </w:r>
      <w:r>
        <w:rPr>
          <w:i/>
        </w:rPr>
        <w:t>Despatches</w:t>
      </w:r>
      <w:r>
        <w:t xml:space="preserve"> project is into similar territory, from an archival and historical point of view: reading local history </w:t>
      </w:r>
      <w:proofErr w:type="gramStart"/>
      <w:r>
        <w:t>in light of</w:t>
      </w:r>
      <w:proofErr w:type="gramEnd"/>
      <w:r>
        <w:t xml:space="preserve"> its colonial dependencies and trying to read the forgotten Indigenous back into the archive. </w:t>
      </w:r>
    </w:p>
    <w:p w14:paraId="61E330AF" w14:textId="77777777" w:rsidR="00076776" w:rsidRDefault="00076776"/>
    <w:p w14:paraId="63CF9266" w14:textId="77777777" w:rsidR="00076776" w:rsidRDefault="00000000">
      <w:r>
        <w:t xml:space="preserve">At best, a counter reading is possible, or what I see as an accountability reading. At worst, we recolonize through the very colonial structures that make a university possible. Building on Said’s term, I propose </w:t>
      </w:r>
      <w:proofErr w:type="spellStart"/>
      <w:r>
        <w:rPr>
          <w:i/>
        </w:rPr>
        <w:t>contracolonial</w:t>
      </w:r>
      <w:proofErr w:type="spellEnd"/>
      <w:r>
        <w:t xml:space="preserve"> </w:t>
      </w:r>
      <w:proofErr w:type="gramStart"/>
      <w:r>
        <w:t>as a way to</w:t>
      </w:r>
      <w:proofErr w:type="gramEnd"/>
      <w:r>
        <w:t xml:space="preserve"> describe a reading against the grain of the colonial status quo.</w:t>
      </w:r>
    </w:p>
    <w:p w14:paraId="2D303151" w14:textId="77777777" w:rsidR="00076776" w:rsidRDefault="00076776"/>
    <w:p w14:paraId="2CE0B73C" w14:textId="77777777" w:rsidR="00076776" w:rsidRDefault="00000000">
      <w:pPr>
        <w:pStyle w:val="Heading1"/>
      </w:pPr>
      <w:bookmarkStart w:id="5" w:name="_heading=h.2et92p0" w:colFirst="0" w:colLast="0"/>
      <w:bookmarkEnd w:id="5"/>
      <w:r>
        <w:t>(2006) Wolfe, “Settler Colonialism and the Elimination of the Native”</w:t>
      </w:r>
    </w:p>
    <w:p w14:paraId="43E24539" w14:textId="77777777" w:rsidR="00076776" w:rsidRDefault="00000000">
      <w:r>
        <w:t xml:space="preserve">Companion/response paper to this from </w:t>
      </w:r>
      <w:hyperlink r:id="rId18" w:anchor="_(2016)_Kauanui,_">
        <w:proofErr w:type="spellStart"/>
        <w:r w:rsidR="00076776">
          <w:rPr>
            <w:color w:val="0563C1"/>
            <w:u w:val="single"/>
          </w:rPr>
          <w:t>Kauanui</w:t>
        </w:r>
        <w:proofErr w:type="spellEnd"/>
      </w:hyperlink>
      <w:r>
        <w:rPr>
          <w:color w:val="0563C1"/>
          <w:u w:val="single"/>
        </w:rPr>
        <w:t>.</w:t>
      </w:r>
    </w:p>
    <w:p w14:paraId="5A868009" w14:textId="77777777" w:rsidR="00076776" w:rsidRDefault="00076776"/>
    <w:p w14:paraId="74EABB6C" w14:textId="77777777" w:rsidR="00076776" w:rsidRDefault="00000000">
      <w:pPr>
        <w:pStyle w:val="Heading2"/>
      </w:pPr>
      <w:r>
        <w:t>Abstract</w:t>
      </w:r>
    </w:p>
    <w:p w14:paraId="6C251C7C" w14:textId="77777777" w:rsidR="00076776" w:rsidRDefault="00000000">
      <w:r>
        <w:t xml:space="preserve">A case for the term “logic of elimination,” as a counterpoint to genocide(s), as wielded by the settler-colonial state and structure. </w:t>
      </w:r>
    </w:p>
    <w:p w14:paraId="66C2C3CB" w14:textId="77777777" w:rsidR="00076776" w:rsidRDefault="00076776"/>
    <w:p w14:paraId="58DE4199" w14:textId="77777777" w:rsidR="00076776" w:rsidRDefault="00000000">
      <w:pPr>
        <w:pStyle w:val="Heading2"/>
      </w:pPr>
      <w:r>
        <w:t>Key words</w:t>
      </w:r>
    </w:p>
    <w:p w14:paraId="61877846" w14:textId="77777777" w:rsidR="00076776" w:rsidRDefault="00000000">
      <w:r>
        <w:t>settler colonialism, genocide, land question, Indigenous elimination, settler state</w:t>
      </w:r>
    </w:p>
    <w:p w14:paraId="251E12A3" w14:textId="77777777" w:rsidR="00076776" w:rsidRDefault="00076776"/>
    <w:p w14:paraId="0DBDBEB3" w14:textId="77777777" w:rsidR="00076776" w:rsidRDefault="00000000">
      <w:pPr>
        <w:pStyle w:val="Heading2"/>
      </w:pPr>
      <w:r>
        <w:t>Essential quote</w:t>
      </w:r>
    </w:p>
    <w:p w14:paraId="43499771" w14:textId="77777777" w:rsidR="00076776" w:rsidRDefault="00000000">
      <w:r>
        <w:t>388: Whatever settlers may say—and they generally have a lot to say—the primary motive for elimination is not race (or religion, ethnicity, grade of civilization, etc.) but access to territory.</w:t>
      </w:r>
    </w:p>
    <w:p w14:paraId="7943AFA6" w14:textId="77777777" w:rsidR="00076776" w:rsidRDefault="00076776"/>
    <w:p w14:paraId="34B67F32" w14:textId="77777777" w:rsidR="00076776" w:rsidRDefault="00000000">
      <w:pPr>
        <w:pStyle w:val="Heading2"/>
      </w:pPr>
      <w:bookmarkStart w:id="6" w:name="_heading=h.tyjcwt" w:colFirst="0" w:colLast="0"/>
      <w:bookmarkEnd w:id="6"/>
      <w:r>
        <w:t>Terms</w:t>
      </w:r>
    </w:p>
    <w:p w14:paraId="583A7FCC" w14:textId="77777777" w:rsidR="00076776" w:rsidRDefault="00000000">
      <w:r>
        <w:rPr>
          <w:highlight w:val="green"/>
        </w:rPr>
        <w:t xml:space="preserve">387: </w:t>
      </w:r>
      <w:r>
        <w:rPr>
          <w:b/>
          <w:highlight w:val="green"/>
        </w:rPr>
        <w:t>logic of elimination</w:t>
      </w:r>
      <w:r>
        <w:rPr>
          <w:highlight w:val="green"/>
        </w:rPr>
        <w:t>:</w:t>
      </w:r>
      <w:r>
        <w:t xml:space="preserve"> [@</w:t>
      </w:r>
      <w:proofErr w:type="gramStart"/>
      <w:r>
        <w:t>L?@</w:t>
      </w:r>
      <w:proofErr w:type="gramEnd"/>
      <w:r>
        <w:t>NeoCol@</w:t>
      </w:r>
      <w:proofErr w:type="gramStart"/>
      <w:r>
        <w:t>L?@</w:t>
      </w:r>
      <w:proofErr w:type="gramEnd"/>
      <w:r>
        <w:t xml:space="preserve">SettState@SettPsych@FFessay@DissSource] I contend that, though the two have converged—which is to say, the settler-colonial logic of elimination has manifested as genocidal—they should be distinguished. … [388] The positive outcomes of the logic of elimination can include officially encouraged miscegenation, the breaking-down of native title into alienable individual freeholds, native citizenship, child abduction, religious conversion, resocialization in total institutions such as missions or boarding schools, and a whole range of cognate biocultural assimilations. … So far as Indigenous people are concerned, where they are is who they are, and not only by their own reckoning. As </w:t>
      </w:r>
      <w:r>
        <w:rPr>
          <w:highlight w:val="magenta"/>
        </w:rPr>
        <w:t>Deborah Bird Rose</w:t>
      </w:r>
      <w:r>
        <w:t xml:space="preserve"> has pointed out, to get in the way of settler colonization, all the native has to do is stay at home. </w:t>
      </w:r>
      <w:r>
        <w:rPr>
          <w:b/>
        </w:rPr>
        <w:t>Whatever settlers may say—and they generally have a lot to say—the primary motive for elimination is not race (or religion, ethnicity, grade of civilization, etc.) but access to territory.</w:t>
      </w:r>
      <w:r>
        <w:t xml:space="preserve"> Territoriality is settler colonialism’s specific, irreducible element. The logic of elimination not only refers to the summary liquidation of Indigenous people, though it </w:t>
      </w:r>
      <w:r>
        <w:lastRenderedPageBreak/>
        <w:t xml:space="preserve">includes that. … In its positive aspect, elimination is an organizing principle of settler-colonial society rather than a one-off (and superseded) occurrence.[390] In short, </w:t>
      </w:r>
      <w:r>
        <w:rPr>
          <w:b/>
        </w:rPr>
        <w:t>elimination refers to more than the summary liquidation of Indigenous people, though it includes that. In its positive aspect, the logic of elimination marks a return whereby the native repressed continues to structure settler-colonial society.</w:t>
      </w:r>
    </w:p>
    <w:p w14:paraId="57459EC2" w14:textId="77777777" w:rsidR="00076776" w:rsidRDefault="00000000">
      <w:r>
        <w:t xml:space="preserve">387: </w:t>
      </w:r>
      <w:r>
        <w:rPr>
          <w:b/>
        </w:rPr>
        <w:t>grammar of race</w:t>
      </w:r>
      <w:r>
        <w:t>: As practised by Europeans, both genocide and settler colonialism have typically employed the organizing grammar of race. … But the mere fact that race is a social construct does not of itself tell us very much.</w:t>
      </w:r>
    </w:p>
    <w:p w14:paraId="24E856AA" w14:textId="77777777" w:rsidR="00076776" w:rsidRDefault="00000000">
      <w:r>
        <w:rPr>
          <w:highlight w:val="red"/>
        </w:rPr>
        <w:t xml:space="preserve">388: </w:t>
      </w:r>
      <w:r>
        <w:rPr>
          <w:b/>
          <w:highlight w:val="red"/>
        </w:rPr>
        <w:t>settler colonialism</w:t>
      </w:r>
      <w:r>
        <w:t xml:space="preserve">: [@FFessay@OAT] … settler colonialism has both negative and positive dimensions. Negatively, it strives for the dissolution of native societies. Positively, it erects a new colonial society on the expropriated land base—as I put it, settler colonizers come to </w:t>
      </w:r>
      <w:proofErr w:type="gramStart"/>
      <w:r>
        <w:t>stay:</w:t>
      </w:r>
      <w:proofErr w:type="gramEnd"/>
      <w:r>
        <w:t xml:space="preserve"> </w:t>
      </w:r>
      <w:r>
        <w:rPr>
          <w:b/>
        </w:rPr>
        <w:t>invasion is a structure not an event</w:t>
      </w:r>
      <w:r>
        <w:t xml:space="preserve">. … All these strategies, including </w:t>
      </w:r>
      <w:r>
        <w:rPr>
          <w:b/>
        </w:rPr>
        <w:t>frontier homicide</w:t>
      </w:r>
      <w:r>
        <w:t xml:space="preserve">, are characteristic of settler colonialism. … Settler colonialism destroys to replace. [389] In its positive aspect, therefore, settler colonialism does not simply replace native society tout court. </w:t>
      </w:r>
      <w:r>
        <w:rPr>
          <w:b/>
        </w:rPr>
        <w:t xml:space="preserve">Rather, the process of replacement maintains the refractory imprint of the native </w:t>
      </w:r>
      <w:proofErr w:type="gramStart"/>
      <w:r>
        <w:rPr>
          <w:b/>
        </w:rPr>
        <w:t>counter-claim</w:t>
      </w:r>
      <w:proofErr w:type="gramEnd"/>
      <w:r>
        <w:rPr>
          <w:b/>
        </w:rPr>
        <w:t xml:space="preserve">. This phenomenon is not confined to the realm of symbolism. </w:t>
      </w:r>
      <w:r>
        <w:t>[393] settler colonialism is an inclusive, land-centred project that coordinates a comprehensive range of agencies, from the metropolitan centre to the frontier encampment, with a view to eliminating Indigenous societies. Its operations are not dependent on the presence or absence of formal state institutions or functionaries. Accordingly—to begin to move toward the issue of genocide—the occasions on or the extent to which settler colonialism conduces to genocide are not a matter of the presence or absence of the formal apparatus of the state.</w:t>
      </w:r>
    </w:p>
    <w:p w14:paraId="0051779A" w14:textId="77777777" w:rsidR="00076776" w:rsidRDefault="00000000">
      <w:r>
        <w:t xml:space="preserve">389-90: </w:t>
      </w:r>
      <w:r>
        <w:rPr>
          <w:b/>
        </w:rPr>
        <w:t xml:space="preserve">doctrine of </w:t>
      </w:r>
      <w:proofErr w:type="spellStart"/>
      <w:r>
        <w:rPr>
          <w:b/>
        </w:rPr>
        <w:t>productivization</w:t>
      </w:r>
      <w:proofErr w:type="spellEnd"/>
      <w:r>
        <w:t xml:space="preserve">: … concept of </w:t>
      </w:r>
      <w:proofErr w:type="spellStart"/>
      <w:r>
        <w:t>productivization</w:t>
      </w:r>
      <w:proofErr w:type="spellEnd"/>
      <w:r>
        <w:t xml:space="preserve"> was developed in response to the self-loathing that discriminatory exclusions from productive industry encouraged in Eastern European Jewry (in this sense, as Shafir acutely observes, Zionism mirrored the persecutors’ anti-Semitism13). In its European enunciation, </w:t>
      </w:r>
      <w:proofErr w:type="spellStart"/>
      <w:r>
        <w:t>productivization</w:t>
      </w:r>
      <w:proofErr w:type="spellEnd"/>
      <w:r>
        <w:t xml:space="preserve"> was not designed to disempower anyone else. It was rather designed, autarkically as it were, to inculcate productive self -sufficiency in a Jewish population that had been relegated to urban (principally financial) occupations that were stigmatized as parasitic by the surrounding gentile population—a prejudice that those who sought to build the “new Jew” endorsed insofar as they resisted its internalization.</w:t>
      </w:r>
    </w:p>
    <w:p w14:paraId="5065F921" w14:textId="77777777" w:rsidR="00076776" w:rsidRDefault="00000000">
      <w:r>
        <w:rPr>
          <w:highlight w:val="green"/>
        </w:rPr>
        <w:t xml:space="preserve">390: </w:t>
      </w:r>
      <w:r>
        <w:rPr>
          <w:b/>
          <w:highlight w:val="green"/>
        </w:rPr>
        <w:t>doctrine of discovery</w:t>
      </w:r>
      <w:r>
        <w:rPr>
          <w:b/>
        </w:rPr>
        <w:t xml:space="preserve"> </w:t>
      </w:r>
      <w:r>
        <w:t xml:space="preserve">[@OAT]: European sovereigns who laid claim to the territories of non-Christian (or, in later secularized versions, uncivilized) inhabitants of the rest of the world: justifications for this claim were derived from a disputatious arena of scholarly controversy that had been prompted by European conquests in the Americas and is misleadingly referred to, in the singular, as the doctrine of discovery. </w:t>
      </w:r>
      <w:r>
        <w:rPr>
          <w:b/>
        </w:rPr>
        <w:t>Though a thoroughgoing diminution of native entitlement was axiomatic to discovery, the discourse was primarily addressed to relations between European sovereigns rather than to relations between Europeans and natives</w:t>
      </w:r>
      <w:r>
        <w:t xml:space="preserve">. </w:t>
      </w:r>
    </w:p>
    <w:p w14:paraId="73134AF1" w14:textId="77777777" w:rsidR="00076776" w:rsidRDefault="00000000">
      <w:r>
        <w:t xml:space="preserve">[392] Rather than something separate from or running counter to the colonial state, the murderous activities of the frontier rabble constitute its principal means of expansion. …  In this light, we </w:t>
      </w:r>
      <w:proofErr w:type="gramStart"/>
      <w:r>
        <w:t>are in a position to</w:t>
      </w:r>
      <w:proofErr w:type="gramEnd"/>
      <w:r>
        <w:t xml:space="preserve"> understand the pragmatics of the doctrine of discovery more clearly. Understood as an assertion of Indigenous entitlement, the distinction between dominion and occupancy dissolves into incoherence. Understood </w:t>
      </w:r>
      <w:proofErr w:type="spellStart"/>
      <w:r>
        <w:t>processually</w:t>
      </w:r>
      <w:proofErr w:type="spellEnd"/>
      <w:r>
        <w:t>, however, as a stage in the formation of the settler-colonial state (specifically, the stage linking the theory and the realization of territorial acquisition), the distinction is only too consistent.</w:t>
      </w:r>
    </w:p>
    <w:p w14:paraId="462EF39D" w14:textId="77777777" w:rsidR="00076776" w:rsidRDefault="00000000">
      <w:pPr>
        <w:ind w:left="720"/>
      </w:pPr>
      <w:r>
        <w:lastRenderedPageBreak/>
        <w:t>@</w:t>
      </w:r>
      <w:proofErr w:type="gramStart"/>
      <w:r>
        <w:t>L?KNote</w:t>
      </w:r>
      <w:proofErr w:type="gramEnd"/>
      <w:r>
        <w:t xml:space="preserve">: This bolded clause, above, plays out in the assertions of the Oregon Treaty as fundamental to the Crown’s sovereignty, here. </w:t>
      </w:r>
    </w:p>
    <w:p w14:paraId="1244B5D0" w14:textId="77777777" w:rsidR="00076776" w:rsidRDefault="00000000">
      <w:r>
        <w:t xml:space="preserve">391: </w:t>
      </w:r>
      <w:r>
        <w:rPr>
          <w:b/>
        </w:rPr>
        <w:t>terra nullius</w:t>
      </w:r>
      <w:r>
        <w:t>: [@TN@L?] Even where native sovereignty was recognized, however, ultimate dominion over the territory in question was held to inhere in the European sovereign in whose name it had been “discovered.” Through all the diversity among the theorists of discovery, a constant theme is the clear distinction between dominion, which inhered in European sovereigns alone, and natives’ right of occupancy, also expressed in terms of possession or usufruct, which entitled natives to pragmatic use (understood as hunting and gathering rather than agriculture)19 of a territory that Europeans had discovered. The distinction between dominion and occupancy illuminates the settler-colonial project’s reliance on the elimination of native societies.</w:t>
      </w:r>
    </w:p>
    <w:p w14:paraId="70FFB5FD" w14:textId="77777777" w:rsidR="00076776" w:rsidRDefault="00000000">
      <w:r>
        <w:t xml:space="preserve">391: </w:t>
      </w:r>
      <w:proofErr w:type="spellStart"/>
      <w:r>
        <w:rPr>
          <w:b/>
        </w:rPr>
        <w:t>preemption</w:t>
      </w:r>
      <w:proofErr w:type="spellEnd"/>
      <w:r>
        <w:t xml:space="preserve">: [@L?] Through being the first European to visit and properly claim a given territory, a discoverer acquired the right, on behalf of his sovereign and vis-a`-vis other Europeans who came after him, to buy land from the natives. This right, known as </w:t>
      </w:r>
      <w:proofErr w:type="spellStart"/>
      <w:r>
        <w:t>preemption</w:t>
      </w:r>
      <w:proofErr w:type="spellEnd"/>
      <w:r>
        <w:t>, gave the discovering power (or, in the US case, its successors) a monopoly over land transactions with the natives, who were prevented from disposing of their land to any other European power. …</w:t>
      </w:r>
      <w:r>
        <w:rPr>
          <w:rFonts w:ascii="Times" w:eastAsia="Times" w:hAnsi="Times" w:cs="Times"/>
          <w:color w:val="000000"/>
          <w:sz w:val="22"/>
          <w:szCs w:val="22"/>
        </w:rPr>
        <w:t xml:space="preserve"> </w:t>
      </w:r>
      <w:proofErr w:type="spellStart"/>
      <w:r>
        <w:t>Preemption</w:t>
      </w:r>
      <w:proofErr w:type="spellEnd"/>
      <w:r>
        <w:t xml:space="preserve"> sanctioned European priority but not Indigenous freedom of choice. “The American right to buy always superseded the Indian right not to sell” [Harvey Rosenthal 21]. The mechanisms of this priority are crucial. Why should ostensibly sovereign nations, residing in territory solemnly guaranteed to them by treaties, decide that they are willing, after all, to surrender their ancestral homelands? [392] As observed, </w:t>
      </w:r>
      <w:proofErr w:type="spellStart"/>
      <w:r>
        <w:t>preemption</w:t>
      </w:r>
      <w:proofErr w:type="spellEnd"/>
      <w:r>
        <w:t xml:space="preserve"> </w:t>
      </w:r>
      <w:proofErr w:type="gramStart"/>
      <w:r>
        <w:t>provided that</w:t>
      </w:r>
      <w:proofErr w:type="gramEnd"/>
      <w:r>
        <w:t xml:space="preserve"> natives could transfer their right of occupancy to the discovering sovereign and to no one else. They could not transfer dominion because it was not theirs to transfer; that inhered in the European sovereign and had done so from the moment of discovery.</w:t>
      </w:r>
    </w:p>
    <w:p w14:paraId="1CF5AB6A" w14:textId="77777777" w:rsidR="00076776" w:rsidRDefault="00000000">
      <w:r>
        <w:t xml:space="preserve">391-92: </w:t>
      </w:r>
      <w:r>
        <w:rPr>
          <w:b/>
        </w:rPr>
        <w:t>consummated by possession</w:t>
      </w:r>
      <w:r>
        <w:t xml:space="preserve">: as related to </w:t>
      </w:r>
      <w:proofErr w:type="spellStart"/>
      <w:r>
        <w:t>preemption</w:t>
      </w:r>
      <w:proofErr w:type="spellEnd"/>
      <w:r>
        <w:t xml:space="preserve">: Dominion without conquest constitutes the theoretical (or “inchoate”) stage of territorial sovereignty. In US Chief Justice </w:t>
      </w:r>
      <w:r>
        <w:rPr>
          <w:highlight w:val="magenta"/>
        </w:rPr>
        <w:t>John Marshall’s</w:t>
      </w:r>
      <w:r>
        <w:t xml:space="preserve"> words, it remained to be “consummated by possession.”</w:t>
      </w:r>
      <w:r>
        <w:rPr>
          <w:vertAlign w:val="superscript"/>
        </w:rPr>
        <w:t>27</w:t>
      </w:r>
      <w:r>
        <w:t xml:space="preserve"> … In other words, the right of occupancy was not an assertion of native rights. Rather, it was a pragmatic acknowledgment of the lethal interlude that would intervene between the conceit of discovery, when navigators proclaimed European dominion over whole continents to trees or deserted beaches, and the practical realization of that conceit in the final securing of European settlement, formally consummated in the extinguishment of native title.</w:t>
      </w:r>
    </w:p>
    <w:p w14:paraId="17BDC8C4" w14:textId="77777777" w:rsidR="00076776" w:rsidRDefault="00000000">
      <w:r>
        <w:tab/>
        <w:t xml:space="preserve">27: See </w:t>
      </w:r>
      <w:r>
        <w:rPr>
          <w:i/>
        </w:rPr>
        <w:t>Johnson v. McIntosh</w:t>
      </w:r>
      <w:r>
        <w:t>, 21 US (8 Wheaton), 543, 1823, p 573.</w:t>
      </w:r>
    </w:p>
    <w:p w14:paraId="66CBD713" w14:textId="77777777" w:rsidR="00076776" w:rsidRDefault="00000000">
      <w:r>
        <w:t xml:space="preserve">393: [@Geno] </w:t>
      </w:r>
      <w:r>
        <w:rPr>
          <w:b/>
        </w:rPr>
        <w:t>modern genocide</w:t>
      </w:r>
      <w:r>
        <w:t xml:space="preserve">: Isabel Hull </w:t>
      </w:r>
      <w:proofErr w:type="gramStart"/>
      <w:r>
        <w:t>argues,</w:t>
      </w:r>
      <w:proofErr w:type="gramEnd"/>
      <w:r>
        <w:t xml:space="preserve"> that the pace, scale and intensity of certain forms of modern genocide require the centralized technological, logistical and administrative capacities of the modern state,31 this does not mean that settler-colonial discourse should be regarded as pre- (or less than) modern.</w:t>
      </w:r>
    </w:p>
    <w:p w14:paraId="3506E5DF" w14:textId="77777777" w:rsidR="00076776" w:rsidRDefault="00000000">
      <w:r>
        <w:t xml:space="preserve">394: </w:t>
      </w:r>
      <w:r>
        <w:rPr>
          <w:b/>
        </w:rPr>
        <w:t>Fordism</w:t>
      </w:r>
      <w:r>
        <w:t xml:space="preserve">: see </w:t>
      </w:r>
      <w:hyperlink r:id="rId19">
        <w:r w:rsidR="00076776">
          <w:rPr>
            <w:color w:val="0563C1"/>
            <w:u w:val="single"/>
          </w:rPr>
          <w:t>https://en.wikipedia.org/wiki/Fordism</w:t>
        </w:r>
      </w:hyperlink>
    </w:p>
    <w:p w14:paraId="64AD5A0D" w14:textId="77777777" w:rsidR="00076776" w:rsidRDefault="00000000">
      <w:r>
        <w:t xml:space="preserve">394-95: </w:t>
      </w:r>
      <w:r>
        <w:rPr>
          <w:b/>
        </w:rPr>
        <w:t>Hamitic Hypothesis</w:t>
      </w:r>
      <w:r>
        <w:t xml:space="preserve">: In classic </w:t>
      </w:r>
      <w:r>
        <w:rPr>
          <w:highlight w:val="magenta"/>
        </w:rPr>
        <w:t>Foucauldian</w:t>
      </w:r>
      <w:r>
        <w:t xml:space="preserve"> style, the German and, above all, Belgian overlords who succeeded each other in modern Rwanda had imposed a racial grid on the complex native social order, co-opting the pastoral Tutsi aristocracy as a comprador elite who facilitated their exploitation of the agriculturalist Hutu and lower-order Tutsis. This racial difference was elaborated “by Belgian administrators and anthropologists who argued—in what came to be known as the ‘Hamitic Hypothesis’—that the Tutsi were conquerors who had originated in Ethiopia (closer to Europe!) and that the Hutu were a conquered inferior tribe of local provenance.”</w:t>
      </w:r>
      <w:r>
        <w:rPr>
          <w:vertAlign w:val="superscript"/>
        </w:rPr>
        <w:t>38</w:t>
      </w:r>
    </w:p>
    <w:p w14:paraId="69648DD8" w14:textId="77777777" w:rsidR="00076776" w:rsidRDefault="00000000">
      <w:r>
        <w:lastRenderedPageBreak/>
        <w:tab/>
        <w:t>See Melson, “Modern genocide in Rwanda,” pp 327–328.</w:t>
      </w:r>
    </w:p>
    <w:p w14:paraId="51A2919A" w14:textId="77777777" w:rsidR="00076776" w:rsidRDefault="00000000">
      <w:r>
        <w:t xml:space="preserve">398 </w:t>
      </w:r>
      <w:r>
        <w:rPr>
          <w:b/>
        </w:rPr>
        <w:t xml:space="preserve">genocide </w:t>
      </w:r>
      <w:r>
        <w:t xml:space="preserve">[@Geno@OralEx@DissSource]: and on its specificity: The etymology of “genocide” combines the senses of killing and of </w:t>
      </w:r>
      <w:proofErr w:type="spellStart"/>
      <w:r>
        <w:t>grouphood</w:t>
      </w:r>
      <w:proofErr w:type="spellEnd"/>
      <w:r>
        <w:t>. “Group” is more than a purely numerical designation. Genos refers to a denominate group with a membership that persists through time (</w:t>
      </w:r>
      <w:r>
        <w:rPr>
          <w:highlight w:val="magenta"/>
        </w:rPr>
        <w:t>Raphael Lemkin</w:t>
      </w:r>
      <w:r>
        <w:t xml:space="preserve"> translated it as “tribe”). It is not simply a random collectivity (such as, say, the passengers on a bus). Accordingly, with respect to Robert </w:t>
      </w:r>
      <w:proofErr w:type="spellStart"/>
      <w:r>
        <w:t>Gellately</w:t>
      </w:r>
      <w:proofErr w:type="spellEnd"/>
      <w:r>
        <w:t xml:space="preserve"> and Ben Kiernan (concerning both the subtitle of their excellent collection and their reference, in this context, to 9/11), the strike on the World Trade Center is an example of mass murder but not, in my view, of genocide. … Mass murders are not the same thing as genocide, though the one action can be both. </w:t>
      </w:r>
      <w:proofErr w:type="gramStart"/>
      <w:r>
        <w:t>Thus</w:t>
      </w:r>
      <w:proofErr w:type="gramEnd"/>
      <w:r>
        <w:t xml:space="preserve"> genocide has been achieved by means of summary mass murder (to cite examples already used) in the frontier massacring of Indigenous peoples, in the Holocaust, and in Rwanda. But there can be summary mass murder without genocide, as in the case of 9/11, and there can be genocide without summary mass murder, as in the case of the continuing post-frontier destruction, in whole and in part, of Indigenous </w:t>
      </w:r>
      <w:proofErr w:type="spellStart"/>
      <w:r>
        <w:rPr>
          <w:i/>
        </w:rPr>
        <w:t>genoi</w:t>
      </w:r>
      <w:proofErr w:type="spellEnd"/>
      <w:r>
        <w:t>.</w:t>
      </w:r>
    </w:p>
    <w:p w14:paraId="64B89DA1" w14:textId="77777777" w:rsidR="00076776" w:rsidRDefault="00000000">
      <w:pPr>
        <w:ind w:left="720"/>
      </w:pPr>
      <w:r>
        <w:t xml:space="preserve"> 398: </w:t>
      </w:r>
      <w:r>
        <w:rPr>
          <w:b/>
        </w:rPr>
        <w:t>cultural genocide</w:t>
      </w:r>
      <w:r>
        <w:t xml:space="preserve">: … the term (which </w:t>
      </w:r>
      <w:r>
        <w:rPr>
          <w:highlight w:val="magenta"/>
        </w:rPr>
        <w:t>Lemkin</w:t>
      </w:r>
      <w:r>
        <w:t xml:space="preserve"> favoured) “cultural genocide.” My reason for not favouring the term is that it confuses definition with degree. … the practical hazards that can ensue once an abstract concept like “cultural genocide” falls into the wrong hands are legion. </w:t>
      </w:r>
      <w:proofErr w:type="gramStart"/>
      <w:r>
        <w:t>In particular, in</w:t>
      </w:r>
      <w:proofErr w:type="gramEnd"/>
      <w:r>
        <w:t xml:space="preserve"> an elementary category error, “either/or” can be substituted for “both/and,” from which genocide emerges as either biological (read “the real thing”) or cultural—and thus, it follows, not real. In practice, it should go without saying that the imposition on a people of the procedures and techniques that are generally glossed as “cultural genocide” is certainly going to have a direct impact on that people’s capacity to stay alive (even apart from their qualitative immiseration while they do so). </w:t>
      </w:r>
    </w:p>
    <w:p w14:paraId="19841DC8" w14:textId="77777777" w:rsidR="00076776" w:rsidRDefault="00000000">
      <w:pPr>
        <w:ind w:left="720"/>
      </w:pPr>
      <w:r>
        <w:t xml:space="preserve">402 </w:t>
      </w:r>
      <w:r>
        <w:rPr>
          <w:b/>
        </w:rPr>
        <w:t>other “genocides</w:t>
      </w:r>
      <w:r>
        <w:t xml:space="preserve">:” [@Arg] So why not a special kind of </w:t>
      </w:r>
      <w:proofErr w:type="gramStart"/>
      <w:r>
        <w:t>genocide?—</w:t>
      </w:r>
      <w:proofErr w:type="gramEnd"/>
      <w:r>
        <w:t xml:space="preserve">Raymond Evans’ and </w:t>
      </w:r>
      <w:r>
        <w:rPr>
          <w:highlight w:val="magenta"/>
        </w:rPr>
        <w:t>Bill Thorpe’s</w:t>
      </w:r>
      <w:r>
        <w:t xml:space="preserve"> etymologically deft “</w:t>
      </w:r>
      <w:proofErr w:type="spellStart"/>
      <w:r>
        <w:rPr>
          <w:b/>
        </w:rPr>
        <w:t>indigenocide</w:t>
      </w:r>
      <w:proofErr w:type="spellEnd"/>
      <w:r>
        <w:t>,” for instance,67 or one of the hyphenated genocides (“</w:t>
      </w:r>
      <w:r>
        <w:rPr>
          <w:b/>
        </w:rPr>
        <w:t>cultural genocide</w:t>
      </w:r>
      <w:r>
        <w:t>,” “</w:t>
      </w:r>
      <w:r>
        <w:rPr>
          <w:b/>
        </w:rPr>
        <w:t>ethnocide</w:t>
      </w:r>
      <w:r>
        <w:t>,” “</w:t>
      </w:r>
      <w:r>
        <w:rPr>
          <w:b/>
        </w:rPr>
        <w:t>politicide</w:t>
      </w:r>
      <w:r>
        <w:t>,” etc.)68 that have variously been proposed? The apparently insurmountable problem with the qualified genocides is that, in their very defensiveness, they threaten to undo themselves. They are never quite the real thing, just as patronizingly hyphenated ethnics are not fully Australian or fully American.</w:t>
      </w:r>
    </w:p>
    <w:p w14:paraId="7C773188" w14:textId="77777777" w:rsidR="00076776" w:rsidRDefault="00000000">
      <w:pPr>
        <w:ind w:left="720"/>
      </w:pPr>
      <w:r>
        <w:t xml:space="preserve">403: </w:t>
      </w:r>
      <w:r>
        <w:rPr>
          <w:b/>
        </w:rPr>
        <w:t>structural genocide</w:t>
      </w:r>
      <w:r>
        <w:t>: How, then, when elimination manifests as genocide, are we to retain the specificity of settler colonialism without downplaying its impact by resorting to a qualified genocide? I suggest that the term “structural genocide” avoids the questions of degree—and, therefore, of hierarchy among victims—that are entailed in qualified genocides, while retaining settler colonialism’s structural induration. … Focusing on structural genocide also enables us to appreciate some of the concrete empirical relationships between spatial removal, mass killings and biocultural assimilation. For instance, where there is no space left for removal (as occurred on the closure of the frontier in the US and Australia, or on the Soviet victory on Nazi Germany’s eastern front), mass killings or assimilation become the only eliminatory options available. … Since settler colonialism persists over extended periods of time, structural genocide should be easier to interrupt than short-term genocides.</w:t>
      </w:r>
    </w:p>
    <w:p w14:paraId="03B4313C" w14:textId="77777777" w:rsidR="00076776" w:rsidRDefault="00000000">
      <w:r>
        <w:t xml:space="preserve">400: </w:t>
      </w:r>
      <w:r>
        <w:rPr>
          <w:b/>
        </w:rPr>
        <w:t>New Colonialism</w:t>
      </w:r>
      <w:r>
        <w:t xml:space="preserve">: [@NeoCol] </w:t>
      </w:r>
      <w:r>
        <w:rPr>
          <w:highlight w:val="magenta"/>
        </w:rPr>
        <w:t>John Wunder</w:t>
      </w:r>
      <w:r>
        <w:t xml:space="preserve"> has termed this policy framework “the New Colonialism,” a discursive formation based on reservations and boarding schools that “attacked every aspect of Native American life—religion, speech, political freedoms, economic liberty, </w:t>
      </w:r>
      <w:r>
        <w:lastRenderedPageBreak/>
        <w:t>and cultural diversity.”</w:t>
      </w:r>
      <w:r>
        <w:rPr>
          <w:vertAlign w:val="superscript"/>
        </w:rPr>
        <w:t xml:space="preserve">57 </w:t>
      </w:r>
      <w:r>
        <w:t xml:space="preserve">The centrepiece of this campaign was the allotment programme, first generalized as Indian policy in the Dawes Severalty Act of 1887 and subsequently intensified and extended, whereby tribal land was to be broken down into individual allotments whose proprietors could eventually sell them to White people. [399] </w:t>
      </w:r>
      <w:r>
        <w:rPr>
          <w:b/>
        </w:rPr>
        <w:t>With the demise of the frontier, elimination turned inwards, seeking to penetrate through the tribal surface to the individual Indian below, who was to be co-opted out of the tribe, which would be depleted accordingly</w:t>
      </w:r>
      <w:r>
        <w:t>, and into White society. … The first major expression of this shift was the discontinuation of treaty-making, which came about in 1871. … an avalanche of assimilationist legislation, accompanied by draconian Supreme Court judgments which notionally dismantled tribal sovereignty and provided for the abrogation of existing treaties,</w:t>
      </w:r>
      <w:r>
        <w:rPr>
          <w:vertAlign w:val="superscript"/>
        </w:rPr>
        <w:t>56</w:t>
      </w:r>
      <w:r>
        <w:t xml:space="preserve"> relentlessly sought the breakdown of the tribe and the absorption into White society of individual Indians and their tribal land, only separately.</w:t>
      </w:r>
    </w:p>
    <w:p w14:paraId="32D183D2" w14:textId="77777777" w:rsidR="00076776" w:rsidRDefault="00000000">
      <w:r>
        <w:t>400</w:t>
      </w:r>
      <w:r>
        <w:rPr>
          <w:b/>
        </w:rPr>
        <w:t>: blood quantum regime</w:t>
      </w:r>
      <w:r>
        <w:t xml:space="preserve">: Under the blood quantum regime, one’s Indianness progressively declines in accordance with a “biological” calculus that is a construct of </w:t>
      </w:r>
      <w:proofErr w:type="spellStart"/>
      <w:r>
        <w:t>Euroamerican</w:t>
      </w:r>
      <w:proofErr w:type="spellEnd"/>
      <w:r>
        <w:t xml:space="preserve"> culture. </w:t>
      </w:r>
    </w:p>
    <w:p w14:paraId="2ABACB88" w14:textId="77777777" w:rsidR="00076776" w:rsidRDefault="00000000">
      <w:r>
        <w:t>… Annette Jaimes has termed this procedure “</w:t>
      </w:r>
      <w:r>
        <w:rPr>
          <w:b/>
        </w:rPr>
        <w:t>statistical extermination</w:t>
      </w:r>
      <w:r>
        <w:t>.”</w:t>
      </w:r>
      <w:r>
        <w:rPr>
          <w:vertAlign w:val="superscript"/>
        </w:rPr>
        <w:t>63</w:t>
      </w:r>
    </w:p>
    <w:p w14:paraId="5B1EFBBE" w14:textId="77777777" w:rsidR="00076776" w:rsidRDefault="00000000">
      <w:r>
        <w:rPr>
          <w:highlight w:val="green"/>
        </w:rPr>
        <w:t xml:space="preserve">401: </w:t>
      </w:r>
      <w:r>
        <w:rPr>
          <w:b/>
          <w:highlight w:val="green"/>
        </w:rPr>
        <w:t>assimilation</w:t>
      </w:r>
      <w:r>
        <w:t xml:space="preserve">: </w:t>
      </w:r>
      <w:proofErr w:type="gramStart"/>
      <w:r>
        <w:t>Thus</w:t>
      </w:r>
      <w:proofErr w:type="gramEnd"/>
      <w:r>
        <w:t xml:space="preserve"> assimilation should not be seen as an invariable concomitant of settler colonialism. Rather, assimilation is one of a range of strategies of elimination that become favoured </w:t>
      </w:r>
      <w:proofErr w:type="gramStart"/>
      <w:r>
        <w:t>in particular historical</w:t>
      </w:r>
      <w:proofErr w:type="gramEnd"/>
      <w:r>
        <w:t xml:space="preserve"> circumstances. Moreover, assimilation itself can take on a variety of forms. In the Australian context, for instance, various scholars have recognized that “the genetic and cultural codes recapitulated each other.”</w:t>
      </w:r>
      <w:r>
        <w:rPr>
          <w:vertAlign w:val="superscript"/>
        </w:rPr>
        <w:t>66</w:t>
      </w:r>
      <w:r>
        <w:t xml:space="preserve"> Though “softer” than the recourse to simple violence, however, these strategies are not necessarily less eliminatory. </w:t>
      </w:r>
    </w:p>
    <w:p w14:paraId="4EAC91F9" w14:textId="77777777" w:rsidR="00076776" w:rsidRDefault="00000000">
      <w:pPr>
        <w:ind w:left="720"/>
      </w:pPr>
      <w:r>
        <w:t xml:space="preserve">66: See Wolfe, “Nation and </w:t>
      </w:r>
      <w:proofErr w:type="spellStart"/>
      <w:r>
        <w:t>miscegeNation</w:t>
      </w:r>
      <w:proofErr w:type="spellEnd"/>
      <w:r>
        <w:t xml:space="preserve">,” p 111; </w:t>
      </w:r>
      <w:r>
        <w:rPr>
          <w:i/>
        </w:rPr>
        <w:t>Settler Colonialism and the Transformation of Anthropology</w:t>
      </w:r>
      <w:r>
        <w:t>, p 180.</w:t>
      </w:r>
    </w:p>
    <w:p w14:paraId="4D68D127" w14:textId="77777777" w:rsidR="00076776" w:rsidRDefault="00000000">
      <w:r>
        <w:t>[402] Indeed, depending on the historical conjuncture, assimilation can be a more effective mode of elimination than conventional forms of killing, since it does not involve such a disruptive affront to the rule of law that is ideologically central to the cohesion of settler society. When invasion is recognized as a structure rather than an event, its history does not stop—</w:t>
      </w:r>
      <w:proofErr w:type="gramStart"/>
      <w:r>
        <w:t>or,</w:t>
      </w:r>
      <w:proofErr w:type="gramEnd"/>
      <w:r>
        <w:t xml:space="preserve"> more to the point, become relatively trivial—when it moves on from the era of frontier homicide. Rather, narrating that history involves charting the continuities, discontinuities, adjustments, and departures whereby a logic that initially informed frontier killing transmutes into different modalities, discourses and institutional formations as it undergirds the historical development and complexification of settler society. This is not a hierarchical procedure.</w:t>
      </w:r>
    </w:p>
    <w:p w14:paraId="492C9AE3" w14:textId="77777777" w:rsidR="00076776" w:rsidRDefault="00000000">
      <w:r>
        <w:t xml:space="preserve">402: </w:t>
      </w:r>
      <w:r>
        <w:rPr>
          <w:b/>
        </w:rPr>
        <w:t>repressive authenticity</w:t>
      </w:r>
      <w:r>
        <w:t>: For instance, the style of romantic stereotyping that I have termed “repressive authenticity,” which is a feature of settler-colonial discourse in many countries,</w:t>
      </w:r>
    </w:p>
    <w:p w14:paraId="4F3EC883" w14:textId="77777777" w:rsidR="00076776" w:rsidRDefault="00000000">
      <w:r>
        <w:t xml:space="preserve">is not </w:t>
      </w:r>
      <w:proofErr w:type="gramStart"/>
      <w:r>
        <w:t>genocidal in itself, though</w:t>
      </w:r>
      <w:proofErr w:type="gramEnd"/>
      <w:r>
        <w:t xml:space="preserve"> it eliminates large numbers of empirical natives from official reckonings and, as such, is often concomitant with genocidal practice. </w:t>
      </w:r>
    </w:p>
    <w:p w14:paraId="369F1F75" w14:textId="77777777" w:rsidR="00076776" w:rsidRDefault="00076776"/>
    <w:p w14:paraId="1186AB7D" w14:textId="77777777" w:rsidR="00076776" w:rsidRDefault="00000000">
      <w:pPr>
        <w:pStyle w:val="Heading2"/>
      </w:pPr>
      <w:r>
        <w:t>Core quotes</w:t>
      </w:r>
    </w:p>
    <w:p w14:paraId="766DA808" w14:textId="77777777" w:rsidR="00076776" w:rsidRDefault="00076776"/>
    <w:p w14:paraId="67D44200" w14:textId="77777777" w:rsidR="00076776" w:rsidRDefault="00000000">
      <w:r>
        <w:t>387: Settler colonialism is inherently eliminatory but not invariably genocidal.</w:t>
      </w:r>
    </w:p>
    <w:p w14:paraId="54F4E705" w14:textId="77777777" w:rsidR="00076776" w:rsidRDefault="00076776"/>
    <w:p w14:paraId="524F8FAB" w14:textId="77777777" w:rsidR="00076776" w:rsidRDefault="00000000">
      <w:r>
        <w:t>389 @Topo@FFessay@Erase@SettPsych@Para@</w:t>
      </w:r>
      <w:proofErr w:type="gramStart"/>
      <w:r>
        <w:t>L?@</w:t>
      </w:r>
      <w:proofErr w:type="gramEnd"/>
      <w:r>
        <w:t>IKSG</w:t>
      </w:r>
    </w:p>
    <w:p w14:paraId="51477FB1" w14:textId="77777777" w:rsidR="00076776" w:rsidRDefault="00000000">
      <w:r>
        <w:t xml:space="preserve">We see this in many local placenames: </w:t>
      </w:r>
    </w:p>
    <w:p w14:paraId="3EFA8AB5" w14:textId="77777777" w:rsidR="00076776" w:rsidRDefault="00000000">
      <w:pPr>
        <w:ind w:left="720"/>
      </w:pPr>
      <w:r>
        <w:t xml:space="preserve">In Australia, by contrast (as in many other settler societies), </w:t>
      </w:r>
      <w:r>
        <w:rPr>
          <w:b/>
        </w:rPr>
        <w:t>the erasure of indigeneity conflicts with the assertion of settler nationalism</w:t>
      </w:r>
      <w:r>
        <w:t xml:space="preserve">. On the one hand, settler society required the practical elimination of the natives </w:t>
      </w:r>
      <w:proofErr w:type="gramStart"/>
      <w:r>
        <w:t>in order to</w:t>
      </w:r>
      <w:proofErr w:type="gramEnd"/>
      <w:r>
        <w:t xml:space="preserve"> establish itself on their </w:t>
      </w:r>
      <w:r>
        <w:lastRenderedPageBreak/>
        <w:t xml:space="preserve">territory. On the symbolic level, however, settler society subsequently sought to recuperate indigeneity </w:t>
      </w:r>
      <w:proofErr w:type="gramStart"/>
      <w:r>
        <w:t>in order to</w:t>
      </w:r>
      <w:proofErr w:type="gramEnd"/>
      <w:r>
        <w:t xml:space="preserve"> express its difference—and, accordingly, its independence— from the mother country. Hence it is not surprising that a progressive Australian state government should wish to attach an indigenous aura to a geographical feature that bore the second-hand name of a British mountain range. … </w:t>
      </w:r>
      <w:r>
        <w:rPr>
          <w:b/>
        </w:rPr>
        <w:t>The ideological justification for the dispossession of Aborigines was that “we” could use the land better than they could, not that we had been on the land primordially and were merely returning home.</w:t>
      </w:r>
    </w:p>
    <w:p w14:paraId="2CA820B1" w14:textId="77777777" w:rsidR="00076776" w:rsidRDefault="00076776"/>
    <w:p w14:paraId="48FADF19" w14:textId="77777777" w:rsidR="00076776" w:rsidRDefault="00000000">
      <w:r>
        <w:t>394 @</w:t>
      </w:r>
      <w:proofErr w:type="gramStart"/>
      <w:r>
        <w:t>L?@</w:t>
      </w:r>
      <w:proofErr w:type="gramEnd"/>
      <w:r>
        <w:t>ManDest@DoD@Hist@</w:t>
      </w:r>
      <w:proofErr w:type="gramStart"/>
      <w:r>
        <w:t>Link:</w:t>
      </w:r>
      <w:r>
        <w:rPr>
          <w:highlight w:val="magenta"/>
        </w:rPr>
        <w:t>Harris</w:t>
      </w:r>
      <w:proofErr w:type="gramEnd"/>
    </w:p>
    <w:p w14:paraId="5B4D8FC8" w14:textId="77777777" w:rsidR="00076776" w:rsidRDefault="00000000">
      <w:pPr>
        <w:ind w:left="720"/>
      </w:pPr>
      <w:r>
        <w:t xml:space="preserve">As </w:t>
      </w:r>
      <w:r>
        <w:rPr>
          <w:highlight w:val="magenta"/>
        </w:rPr>
        <w:t>Cole Harris</w:t>
      </w:r>
      <w:r>
        <w:t xml:space="preserve"> observed in relation to the dispossession of Indians in British Columbia, “Combine capital’s interest in uncluttered access to land and settlers’ interest in land as livelihood, and the principal momentum of settler colonialism comes into focus.”</w:t>
      </w:r>
      <w:r>
        <w:rPr>
          <w:vertAlign w:val="superscript"/>
        </w:rPr>
        <w:t>36</w:t>
      </w:r>
    </w:p>
    <w:p w14:paraId="4991D35B" w14:textId="77777777" w:rsidR="00076776" w:rsidRDefault="00000000">
      <w:pPr>
        <w:ind w:left="1440"/>
      </w:pPr>
      <w:r>
        <w:t xml:space="preserve">See Cole Harris, “How did colonialism dispossess? Comments from an edge of empire,” </w:t>
      </w:r>
      <w:r>
        <w:rPr>
          <w:i/>
        </w:rPr>
        <w:t>Annals of the Association of American Geographers</w:t>
      </w:r>
      <w:r>
        <w:t>, Vol 94, 2004, p 179.</w:t>
      </w:r>
    </w:p>
    <w:p w14:paraId="7A6632E1" w14:textId="77777777" w:rsidR="00076776" w:rsidRDefault="00076776"/>
    <w:p w14:paraId="3DBAE65D" w14:textId="77777777" w:rsidR="00076776" w:rsidRDefault="00000000">
      <w:r>
        <w:t>395 @</w:t>
      </w:r>
      <w:proofErr w:type="gramStart"/>
      <w:r>
        <w:t>Boom!@</w:t>
      </w:r>
      <w:proofErr w:type="gramEnd"/>
      <w:r>
        <w:t>NeoCol@pow@SettState@Law@Capital@</w:t>
      </w:r>
      <w:proofErr w:type="gramStart"/>
      <w:r>
        <w:t>L?@</w:t>
      </w:r>
      <w:proofErr w:type="gramEnd"/>
      <w:r>
        <w:t>Diss@A6</w:t>
      </w:r>
    </w:p>
    <w:p w14:paraId="46244498" w14:textId="77777777" w:rsidR="00076776" w:rsidRDefault="00000000">
      <w:pPr>
        <w:ind w:left="720"/>
      </w:pPr>
      <w:r>
        <w:t xml:space="preserve">The inequities, contradictions and pogroms of metropolitan society ensure a recurrent supply of fresh immigrants—especially, as noted, from among the landless. In this way, individual motivations dovetail with the global market’s imperative for expansion. Through its ceaseless expansion, agriculture (including, for this purpose, commercial pastoralism) progressively eats into Indigenous territory, a primitive accumulation that turns native flora and fauna into a dwindling resource and curtails the reproduction of Indigenous modes of production. In the event, Indigenous people are either rendered dependent on the introduced economy or reduced to the stock-raids that provide the classic pretext for colonial death-squads. … [396] In addition to its objective economic centrality to the project, agriculture, with its life-sustaining connectedness to land, is a potent symbol of settler-colonial identity. Accordingly, settler-colonial discourse is resolutely impervious to glaring inconsistencies such as sedentary natives or the fact that the settlers themselves have come from somewhere else. … </w:t>
      </w:r>
      <w:r>
        <w:rPr>
          <w:b/>
        </w:rPr>
        <w:t>The reproach of nomadism renders the native removable</w:t>
      </w:r>
      <w:r>
        <w:t>.</w:t>
      </w:r>
    </w:p>
    <w:p w14:paraId="786847A4" w14:textId="77777777" w:rsidR="00076776" w:rsidRDefault="00076776"/>
    <w:p w14:paraId="53916945" w14:textId="77777777" w:rsidR="00076776" w:rsidRDefault="00000000">
      <w:r>
        <w:t>397 @</w:t>
      </w:r>
      <w:proofErr w:type="gramStart"/>
      <w:r>
        <w:t>Boom!@</w:t>
      </w:r>
      <w:proofErr w:type="gramEnd"/>
      <w:r>
        <w:t>Marx@IndHist@Guffaw!</w:t>
      </w:r>
    </w:p>
    <w:p w14:paraId="0C805E4D" w14:textId="77777777" w:rsidR="00076776" w:rsidRDefault="00000000">
      <w:pPr>
        <w:ind w:firstLine="720"/>
      </w:pPr>
      <w:r>
        <w:t>Indians were the original communist menace.</w:t>
      </w:r>
    </w:p>
    <w:p w14:paraId="33AE6878" w14:textId="77777777" w:rsidR="00076776" w:rsidRDefault="00076776"/>
    <w:p w14:paraId="44EA9BC9" w14:textId="77777777" w:rsidR="00076776" w:rsidRDefault="00000000">
      <w:r>
        <w:t>@</w:t>
      </w:r>
      <w:proofErr w:type="gramStart"/>
      <w:r>
        <w:t>Boom!@L?@</w:t>
      </w:r>
      <w:proofErr w:type="gramEnd"/>
      <w:r>
        <w:t>SettState@Soma@</w:t>
      </w:r>
      <w:proofErr w:type="gramStart"/>
      <w:r>
        <w:t>Diss?@</w:t>
      </w:r>
      <w:proofErr w:type="gramEnd"/>
      <w:r>
        <w:t>Geno@SettPsyche@A6</w:t>
      </w:r>
    </w:p>
    <w:p w14:paraId="77673FD7" w14:textId="77777777" w:rsidR="00076776" w:rsidRDefault="00000000">
      <w:pPr>
        <w:ind w:left="720"/>
      </w:pPr>
      <w:r>
        <w:rPr>
          <w:highlight w:val="green"/>
        </w:rPr>
        <w:t xml:space="preserve">Here, in essence, is assimilation’s Faustian bargain— have our settler </w:t>
      </w:r>
      <w:proofErr w:type="gramStart"/>
      <w:r>
        <w:rPr>
          <w:highlight w:val="green"/>
        </w:rPr>
        <w:t>world, but</w:t>
      </w:r>
      <w:proofErr w:type="gramEnd"/>
      <w:r>
        <w:rPr>
          <w:highlight w:val="green"/>
        </w:rPr>
        <w:t xml:space="preserve"> lose your Indigenous soul. Beyond any doubt, this is a kind of death. Assimilationists recognized this very clearly.</w:t>
      </w:r>
      <w:r>
        <w:t xml:space="preserve"> … But just what kind of death is it that is involved in assimilation? The term “homicide,” for instance, combines the senses of killing and of humanity. So far as I know, when it comes to killing a human individual, there is no alternative to terminating their somatic career.</w:t>
      </w:r>
    </w:p>
    <w:p w14:paraId="4F09026E" w14:textId="77777777" w:rsidR="00076776" w:rsidRDefault="00076776"/>
    <w:p w14:paraId="27AF2262" w14:textId="77777777" w:rsidR="00076776" w:rsidRDefault="00000000">
      <w:r>
        <w:t>402 @Geno@SettState@</w:t>
      </w:r>
      <w:proofErr w:type="gramStart"/>
      <w:r>
        <w:t>L?@</w:t>
      </w:r>
      <w:proofErr w:type="gramEnd"/>
      <w:r>
        <w:t>Diss</w:t>
      </w:r>
    </w:p>
    <w:p w14:paraId="04C6DD13" w14:textId="77777777" w:rsidR="00076776" w:rsidRDefault="00000000">
      <w:pPr>
        <w:ind w:left="720"/>
      </w:pPr>
      <w:r>
        <w:lastRenderedPageBreak/>
        <w:t xml:space="preserve">Keeping one eye on the Holocaust, which is always the unqualified referent of the qualified genocides, can only disadvantage Indigenous people because it discursively reinforces the figure of lack at the heart of the non-Western. Moreover, whereas the Holocaust exonerates anti-Semitic Western nations who were on the side opposing the Nazis, those same nations have nothing to gain from their liability for colonial genocides. On historical as well as categorical grounds, therefore, the hyphenated genocides devalue Indigenous attrition. No such problem bedevils analysis of </w:t>
      </w:r>
      <w:r>
        <w:rPr>
          <w:b/>
        </w:rPr>
        <w:t>the logic of elimination, which, in its specificity to settler colonialism, is premised on the securing—the obtaining and maintaining—of territory.</w:t>
      </w:r>
      <w:r>
        <w:rPr>
          <w:b/>
          <w:vertAlign w:val="superscript"/>
        </w:rPr>
        <w:t xml:space="preserve">69 </w:t>
      </w:r>
      <w:r>
        <w:rPr>
          <w:b/>
        </w:rPr>
        <w:t xml:space="preserve">This logic certainly requires the elimination of the owners of that territory, but not in any </w:t>
      </w:r>
      <w:proofErr w:type="gramStart"/>
      <w:r>
        <w:rPr>
          <w:b/>
        </w:rPr>
        <w:t>particular way</w:t>
      </w:r>
      <w:proofErr w:type="gramEnd"/>
      <w:r>
        <w:rPr>
          <w:b/>
        </w:rPr>
        <w:t>. To this extent, it is a larger category than genocide.</w:t>
      </w:r>
    </w:p>
    <w:p w14:paraId="5C1BE2B7" w14:textId="77777777" w:rsidR="00076776" w:rsidRDefault="00076776"/>
    <w:p w14:paraId="34D564E4" w14:textId="77777777" w:rsidR="00076776" w:rsidRDefault="00000000">
      <w:r>
        <w:t>404 @Racial@</w:t>
      </w:r>
      <w:proofErr w:type="gramStart"/>
      <w:r>
        <w:t>L?@</w:t>
      </w:r>
      <w:proofErr w:type="gramEnd"/>
      <w:r>
        <w:t>Law@SettState@Geno</w:t>
      </w:r>
    </w:p>
    <w:p w14:paraId="798C5392" w14:textId="77777777" w:rsidR="00076776" w:rsidRDefault="00000000">
      <w:pPr>
        <w:ind w:left="720"/>
      </w:pPr>
      <w:r>
        <w:t>Today in the US, the blatant racial zoning of large cities and the penal system suggests that, once colonized people outlive their utility, settler societies can fall back on the repertoire of strategies (in this case, spatial sequestration) whereby they have also dealt with the native surplus.</w:t>
      </w:r>
    </w:p>
    <w:p w14:paraId="176EF297" w14:textId="77777777" w:rsidR="00076776" w:rsidRDefault="00076776">
      <w:pPr>
        <w:ind w:left="720"/>
      </w:pPr>
    </w:p>
    <w:p w14:paraId="165D4993" w14:textId="77777777" w:rsidR="00076776" w:rsidRDefault="00000000">
      <w:pPr>
        <w:pStyle w:val="Heading2"/>
      </w:pPr>
      <w:r>
        <w:t>Secondary quotes</w:t>
      </w:r>
    </w:p>
    <w:p w14:paraId="13DC4128" w14:textId="77777777" w:rsidR="00076776" w:rsidRDefault="00000000">
      <w:r>
        <w:t xml:space="preserve">392 … A Georgia volunteer, afterward a colonel in the Confederate service, said: “I fought through the civil war and have seen men shot to pieces and slaughtered by thousands, but the Cherokee removal was the cruelest work I ever knew.”23 // @L? </w:t>
      </w:r>
      <w:proofErr w:type="gramStart"/>
      <w:r>
        <w:t>On the basis of</w:t>
      </w:r>
      <w:proofErr w:type="gramEnd"/>
      <w:r>
        <w:t xml:space="preserve"> this passage alone, the structural complexity of settler colonialism could sustain libraries of elaboration. </w:t>
      </w:r>
      <w:r>
        <w:rPr>
          <w:b/>
        </w:rPr>
        <w:t xml:space="preserve">A global dimension to the frenzy for native land is reflected in the fact that, as economic immigrants, the rabble were generally drawn from the ranks of Europe’s landless. </w:t>
      </w:r>
      <w:r>
        <w:t xml:space="preserve">/ … burgeoning science of craniology … made Cherokee skulls too marketable a commodity to be overlooked … /  394 @IR The Industrial Revolution, misleadingly figuring in popular consciousness as an autochthonous metropolitan phenomenon, required colonial land and labour to produce its raw materials just as centrally as it required metropolitan factories and an industrial proletariat to process them, whereupon the colonies were again required as a market. The expropriated Aboriginal, enslaved African American, or indentured Asian is as thoroughly modern as the factory worker, bureaucrat, or </w:t>
      </w:r>
      <w:proofErr w:type="spellStart"/>
      <w:r>
        <w:rPr>
          <w:i/>
        </w:rPr>
        <w:t>flaˆneur</w:t>
      </w:r>
      <w:proofErr w:type="spellEnd"/>
      <w:r>
        <w:t xml:space="preserve"> of the metropolitan centre. The fact that the slave may be in chains does not make him or her medieval. /  “</w:t>
      </w:r>
      <w:r>
        <w:rPr>
          <w:b/>
        </w:rPr>
        <w:t>The Rwandan genocide was the product of a postcolonial state, a racialist ideology, a revolution claiming democratic legitimation, and war—all manifestations of the modern world</w:t>
      </w:r>
      <w:r>
        <w:t xml:space="preserve">.”37 / 397 @SettState@SettPsych: to become settler is to become human: “The reason that the remaining Choctaw were acceptable had nothing to do with their being Choctaw. On the contrary, it had to do with their not (or, at least, no longer) being Choctaw. They had become “homesteaders and American citizens.” In a word, they had become individuals.” / In a paper for the 1892 Charities and Correction Con- </w:t>
      </w:r>
      <w:proofErr w:type="spellStart"/>
      <w:r>
        <w:t>ference</w:t>
      </w:r>
      <w:proofErr w:type="spellEnd"/>
      <w:r>
        <w:t xml:space="preserve"> held in Denver, Pratt explicitly endorsed Sheridan’s maxim, “but only in this: that all the Indian there is in the race should be dead. Kill the Indian in him and save the man.”47 / 401 Article II (d) of the UN Convention on Genocide, which seems to have been relatively overlooked in Australian discussions … the imposition of “measures intended to prevent births within the group.” / 403 Since settler colonialism is an indicator, it follows that we should monitor situations in which settler colonialism intensifies or in which societies that are not yet, or not fully, settler-colonial take on more of its characteristics. / 404 The US parallel is </w:t>
      </w:r>
      <w:r>
        <w:lastRenderedPageBreak/>
        <w:t xml:space="preserve">significant because, unlike the South African case, the formal apparatus of oppression (slavery) was overcome but Whites remained in power. On emancipation, Blacks became surplus to some requirements and, to that extent, more like Indians. </w:t>
      </w:r>
      <w:proofErr w:type="gramStart"/>
      <w:r>
        <w:t>Thus</w:t>
      </w:r>
      <w:proofErr w:type="gramEnd"/>
      <w:r>
        <w:t xml:space="preserve"> it is highly significant that the barbarities of lynching and the Jim Crow reign of terror should be a post-emancipation phenomenon. </w:t>
      </w:r>
    </w:p>
    <w:p w14:paraId="03BC4A37" w14:textId="77777777" w:rsidR="00076776" w:rsidRDefault="00076776"/>
    <w:p w14:paraId="6977D9AC" w14:textId="77777777" w:rsidR="00076776" w:rsidRDefault="00000000">
      <w:pPr>
        <w:pStyle w:val="Heading2"/>
      </w:pPr>
      <w:r>
        <w:t>Notes</w:t>
      </w:r>
    </w:p>
    <w:p w14:paraId="35E69671" w14:textId="77777777" w:rsidR="00076776" w:rsidRDefault="00000000">
      <w:r>
        <w:t>K?</w:t>
      </w:r>
    </w:p>
    <w:p w14:paraId="6A2649A9" w14:textId="77777777" w:rsidR="00076776" w:rsidRDefault="00000000">
      <w:proofErr w:type="spellStart"/>
      <w:r>
        <w:t>Rearding</w:t>
      </w:r>
      <w:proofErr w:type="spellEnd"/>
      <w:r>
        <w:t xml:space="preserve"> this passage: </w:t>
      </w:r>
    </w:p>
    <w:p w14:paraId="59E4C5B7" w14:textId="77777777" w:rsidR="00076776" w:rsidRDefault="00000000">
      <w:pPr>
        <w:ind w:left="720"/>
      </w:pPr>
      <w:r>
        <w:t>… elimination refers to more than the summary liquidation of Indigenous people liquidation of Indigenous people, though it includes that. In its positive aspect, the logic of elimination marks a return whereby the native repressed continues to structure settler-colonial society.</w:t>
      </w:r>
    </w:p>
    <w:p w14:paraId="3881D7D8" w14:textId="77777777" w:rsidR="00076776" w:rsidRDefault="00076776">
      <w:pPr>
        <w:rPr>
          <w:b/>
        </w:rPr>
      </w:pPr>
    </w:p>
    <w:p w14:paraId="6842558E" w14:textId="77777777" w:rsidR="00076776" w:rsidRDefault="00000000">
      <w:r>
        <w:t xml:space="preserve">Wondering if </w:t>
      </w:r>
      <w:r>
        <w:rPr>
          <w:highlight w:val="magenta"/>
        </w:rPr>
        <w:t>Fanon</w:t>
      </w:r>
      <w:r>
        <w:t xml:space="preserve"> could intersect W’s definitions of “elimination,” and in what ways? </w:t>
      </w:r>
    </w:p>
    <w:p w14:paraId="53D90B7E" w14:textId="77777777" w:rsidR="00076776" w:rsidRDefault="00076776"/>
    <w:p w14:paraId="489AB19F" w14:textId="77777777" w:rsidR="00076776" w:rsidRDefault="00000000">
      <w:pPr>
        <w:pStyle w:val="Heading1"/>
      </w:pPr>
      <w:bookmarkStart w:id="7" w:name="_heading=h.3dy6vkm" w:colFirst="0" w:colLast="0"/>
      <w:bookmarkEnd w:id="7"/>
      <w:r>
        <w:t xml:space="preserve">(2011) </w:t>
      </w:r>
      <w:proofErr w:type="spellStart"/>
      <w:r>
        <w:t>Umeek</w:t>
      </w:r>
      <w:proofErr w:type="spellEnd"/>
      <w:r>
        <w:t xml:space="preserve"> (Atleo), </w:t>
      </w:r>
      <w:r>
        <w:rPr>
          <w:i/>
        </w:rPr>
        <w:t xml:space="preserve">Principles of </w:t>
      </w:r>
      <w:proofErr w:type="spellStart"/>
      <w:r>
        <w:rPr>
          <w:i/>
        </w:rPr>
        <w:t>Tsawalk</w:t>
      </w:r>
      <w:proofErr w:type="spellEnd"/>
      <w:r>
        <w:rPr>
          <w:i/>
        </w:rPr>
        <w:t>: An Indigenous Approach to a Global Crisis</w:t>
      </w:r>
    </w:p>
    <w:p w14:paraId="719CFA39" w14:textId="77777777" w:rsidR="00076776" w:rsidRDefault="00076776"/>
    <w:p w14:paraId="2E385844" w14:textId="77777777" w:rsidR="00076776" w:rsidRDefault="00000000">
      <w:pPr>
        <w:pStyle w:val="Heading2"/>
      </w:pPr>
      <w:r>
        <w:t>Abstract</w:t>
      </w:r>
    </w:p>
    <w:p w14:paraId="429EF069" w14:textId="77777777" w:rsidR="00076776" w:rsidRDefault="00000000">
      <w:r>
        <w:t xml:space="preserve">A compelling case for Indigenous/settler cooperation, politically, scientifically, and culturally, through the recognition and incorporation of Nuu-chah-nulth values. </w:t>
      </w:r>
    </w:p>
    <w:p w14:paraId="6679BF76" w14:textId="77777777" w:rsidR="00076776" w:rsidRDefault="00076776"/>
    <w:p w14:paraId="67B31178" w14:textId="77777777" w:rsidR="00076776" w:rsidRDefault="00000000">
      <w:pPr>
        <w:pStyle w:val="Heading2"/>
      </w:pPr>
      <w:r>
        <w:t>Key words</w:t>
      </w:r>
    </w:p>
    <w:p w14:paraId="5BB20F3F" w14:textId="77777777" w:rsidR="00076776" w:rsidRDefault="00000000">
      <w:proofErr w:type="spellStart"/>
      <w:r>
        <w:rPr>
          <w:i/>
        </w:rPr>
        <w:t>Tsawalk</w:t>
      </w:r>
      <w:proofErr w:type="spellEnd"/>
      <w:r>
        <w:t xml:space="preserve">, Indigenous knowledges, environmentalism, colonialism, recognition, resurgence. </w:t>
      </w:r>
    </w:p>
    <w:p w14:paraId="58FFB7E1" w14:textId="77777777" w:rsidR="00076776" w:rsidRDefault="00076776"/>
    <w:p w14:paraId="653E2454" w14:textId="77777777" w:rsidR="00076776" w:rsidRDefault="00000000">
      <w:pPr>
        <w:pStyle w:val="Heading2"/>
      </w:pPr>
      <w:r>
        <w:t>Essential quote</w:t>
      </w:r>
    </w:p>
    <w:p w14:paraId="1C049272" w14:textId="77777777" w:rsidR="00076776" w:rsidRDefault="00000000">
      <w:r>
        <w:t xml:space="preserve">140 The Nuu-chah-nulth struggle towards wholeness meant </w:t>
      </w:r>
      <w:r>
        <w:rPr>
          <w:b/>
        </w:rPr>
        <w:t>a deliberate exclusion of any form of reductionism</w:t>
      </w:r>
      <w:r>
        <w:t>. In fact, any emphasis upon reducing the interconnected nature of reality was considered as a step towards weakness, which is why it was taught that everyone should learn to ask for help whenever help was needed.</w:t>
      </w:r>
    </w:p>
    <w:p w14:paraId="7672D06A" w14:textId="77777777" w:rsidR="00076776" w:rsidRDefault="00076776"/>
    <w:p w14:paraId="2DB26AC5" w14:textId="77777777" w:rsidR="00076776" w:rsidRDefault="00000000">
      <w:pPr>
        <w:pStyle w:val="Heading2"/>
      </w:pPr>
      <w:r>
        <w:t>Terms</w:t>
      </w:r>
    </w:p>
    <w:p w14:paraId="30B6CF93" w14:textId="77777777" w:rsidR="00076776" w:rsidRDefault="00000000">
      <w:r>
        <w:t xml:space="preserve">11: </w:t>
      </w:r>
      <w:proofErr w:type="spellStart"/>
      <w:r>
        <w:rPr>
          <w:b/>
          <w:i/>
        </w:rPr>
        <w:t>himwic</w:t>
      </w:r>
      <w:r>
        <w:rPr>
          <w:b/>
        </w:rPr>
        <w:t>̓</w:t>
      </w:r>
      <w:r>
        <w:rPr>
          <w:b/>
          <w:i/>
        </w:rPr>
        <w:t>a</w:t>
      </w:r>
      <w:proofErr w:type="spellEnd"/>
      <w:r>
        <w:t xml:space="preserve">: storytelling. </w:t>
      </w:r>
    </w:p>
    <w:p w14:paraId="7046033B" w14:textId="77777777" w:rsidR="00076776" w:rsidRDefault="00000000">
      <w:r>
        <w:t xml:space="preserve">15: </w:t>
      </w:r>
      <w:r>
        <w:rPr>
          <w:b/>
        </w:rPr>
        <w:t>blessed unrest</w:t>
      </w:r>
      <w:r>
        <w:t xml:space="preserve">: </w:t>
      </w:r>
      <w:r>
        <w:rPr>
          <w:highlight w:val="magenta"/>
        </w:rPr>
        <w:t>Paul Hawken</w:t>
      </w:r>
      <w:r>
        <w:t>’s term: “The movement has three basic roots: environmental activism, social justice initiatives, and indigenous cultures’ resistance to globalization, all of which have become intertwined.</w:t>
      </w:r>
      <w:r>
        <w:rPr>
          <w:vertAlign w:val="superscript"/>
        </w:rPr>
        <w:t>13</w:t>
      </w:r>
      <w:r>
        <w:t>”</w:t>
      </w:r>
    </w:p>
    <w:p w14:paraId="48F6DD8D" w14:textId="77777777" w:rsidR="00076776" w:rsidRDefault="00000000">
      <w:pPr>
        <w:tabs>
          <w:tab w:val="left" w:pos="2800"/>
        </w:tabs>
      </w:pPr>
      <w:r>
        <w:t xml:space="preserve">31-32: </w:t>
      </w:r>
      <w:r>
        <w:rPr>
          <w:b/>
        </w:rPr>
        <w:t>Enlightenment</w:t>
      </w:r>
      <w:r>
        <w:t>: “… is man’s emergence from his self-imposed nonage.”</w:t>
      </w:r>
      <w:r>
        <w:rPr>
          <w:vertAlign w:val="superscript"/>
        </w:rPr>
        <w:t>51</w:t>
      </w:r>
      <w:r>
        <w:t xml:space="preserve"> </w:t>
      </w:r>
      <w:r>
        <w:rPr>
          <w:highlight w:val="magenta"/>
        </w:rPr>
        <w:t>Kant</w:t>
      </w:r>
      <w:r>
        <w:t xml:space="preserve"> then makes clear what he means by “man”: “And then will not the European population in these colonies, spreading rapidly over that enormous land, either civilize or peacefully remove the </w:t>
      </w:r>
      <w:r>
        <w:lastRenderedPageBreak/>
        <w:t>savage nations who still inhabit vast tracts of its land?”</w:t>
      </w:r>
      <w:r>
        <w:rPr>
          <w:vertAlign w:val="superscript"/>
        </w:rPr>
        <w:t>52</w:t>
      </w:r>
      <w:r>
        <w:t xml:space="preserve"> Enlightenment ideas of freedom and equality were limited, which is one way of saying that they were incomplete.</w:t>
      </w:r>
    </w:p>
    <w:p w14:paraId="419E5273" w14:textId="77777777" w:rsidR="00076776" w:rsidRDefault="00000000">
      <w:pPr>
        <w:tabs>
          <w:tab w:val="left" w:pos="2800"/>
        </w:tabs>
      </w:pPr>
      <w:r>
        <w:t xml:space="preserve">39: </w:t>
      </w:r>
      <w:proofErr w:type="spellStart"/>
      <w:r>
        <w:rPr>
          <w:b/>
        </w:rPr>
        <w:t>ʔ</w:t>
      </w:r>
      <w:r>
        <w:rPr>
          <w:b/>
          <w:i/>
        </w:rPr>
        <w:t>uuštaqyu</w:t>
      </w:r>
      <w:proofErr w:type="spellEnd"/>
      <w:r>
        <w:t>: ““one who has become complete.” Its literal translations are: “one who has been fixed,” “one who has been worked on,” and “one who has worked on self.”</w:t>
      </w:r>
    </w:p>
    <w:p w14:paraId="71CDD2A7" w14:textId="77777777" w:rsidR="00076776" w:rsidRDefault="00000000">
      <w:pPr>
        <w:tabs>
          <w:tab w:val="left" w:pos="2800"/>
        </w:tabs>
      </w:pPr>
      <w:r>
        <w:t xml:space="preserve">52: </w:t>
      </w:r>
      <w:r>
        <w:rPr>
          <w:b/>
        </w:rPr>
        <w:t>myth</w:t>
      </w:r>
      <w:r>
        <w:t>: “</w:t>
      </w:r>
      <w:r>
        <w:rPr>
          <w:i/>
        </w:rPr>
        <w:t xml:space="preserve">The myths, therefore, were the pattern and are for us </w:t>
      </w:r>
      <w:r>
        <w:t xml:space="preserve">[Western observers] </w:t>
      </w:r>
      <w:r>
        <w:rPr>
          <w:i/>
        </w:rPr>
        <w:t>the mirror of a culture</w:t>
      </w:r>
      <w:r>
        <w:rPr>
          <w:i/>
          <w:vertAlign w:val="superscript"/>
        </w:rPr>
        <w:t>.</w:t>
      </w:r>
      <w:r>
        <w:rPr>
          <w:vertAlign w:val="superscript"/>
        </w:rPr>
        <w:t>9</w:t>
      </w:r>
      <w:r>
        <w:t xml:space="preserve">” … they comprise stories that are meant to be practical. They are meant as guides to understanding the nature of reality. In this sense, myths are not necessarily in opposition to the intent of scientific inquiry; rather, they simply take a different route and employ different terminology. Whereas scientific inquiry depends on theory, indigenous knowledge systems depend on myths. Both theory and myths can be tested. The Nuu-chah-nulth test is called the </w:t>
      </w:r>
      <w:proofErr w:type="spellStart"/>
      <w:r>
        <w:t>ʔ</w:t>
      </w:r>
      <w:r>
        <w:rPr>
          <w:i/>
        </w:rPr>
        <w:t>uusumc</w:t>
      </w:r>
      <w:proofErr w:type="spellEnd"/>
      <w:r>
        <w:rPr>
          <w:i/>
        </w:rPr>
        <w:t xml:space="preserve">̌, </w:t>
      </w:r>
      <w:r>
        <w:t xml:space="preserve">the vision quest. [53] “In </w:t>
      </w:r>
      <w:proofErr w:type="spellStart"/>
      <w:r>
        <w:rPr>
          <w:i/>
        </w:rPr>
        <w:t>Tsawalk</w:t>
      </w:r>
      <w:proofErr w:type="spellEnd"/>
      <w:r>
        <w:rPr>
          <w:i/>
        </w:rPr>
        <w:t xml:space="preserve"> </w:t>
      </w:r>
      <w:r>
        <w:t xml:space="preserve">I suggest that myths – or origin stories, as I prefer to call them…” </w:t>
      </w:r>
    </w:p>
    <w:p w14:paraId="00173873" w14:textId="77777777" w:rsidR="00076776" w:rsidRDefault="00000000">
      <w:pPr>
        <w:tabs>
          <w:tab w:val="left" w:pos="2800"/>
        </w:tabs>
      </w:pPr>
      <w:r>
        <w:rPr>
          <w:highlight w:val="green"/>
        </w:rPr>
        <w:t xml:space="preserve">76 </w:t>
      </w:r>
      <w:proofErr w:type="spellStart"/>
      <w:r>
        <w:rPr>
          <w:b/>
          <w:i/>
          <w:highlight w:val="green"/>
        </w:rPr>
        <w:t>tsawalk</w:t>
      </w:r>
      <w:proofErr w:type="spellEnd"/>
      <w:r>
        <w:t xml:space="preserve">: @Dual “To conclude, there seems no question about the validity of the theory of </w:t>
      </w:r>
      <w:proofErr w:type="spellStart"/>
      <w:r>
        <w:rPr>
          <w:i/>
        </w:rPr>
        <w:t>tsawalk</w:t>
      </w:r>
      <w:proofErr w:type="spellEnd"/>
      <w:r>
        <w:rPr>
          <w:i/>
        </w:rPr>
        <w:t xml:space="preserve">, </w:t>
      </w:r>
      <w:r>
        <w:t xml:space="preserve">upon which this chapter is based. Creation is assumed to be a unity </w:t>
      </w:r>
      <w:proofErr w:type="gramStart"/>
      <w:r>
        <w:t>in spite of</w:t>
      </w:r>
      <w:proofErr w:type="gramEnd"/>
      <w:r>
        <w:t xml:space="preserve"> its apparent polarity, </w:t>
      </w:r>
      <w:proofErr w:type="gramStart"/>
      <w:r>
        <w:t>in spite of</w:t>
      </w:r>
      <w:proofErr w:type="gramEnd"/>
      <w:r>
        <w:t xml:space="preserve"> its apparent fragmentation. The theory of </w:t>
      </w:r>
      <w:proofErr w:type="spellStart"/>
      <w:r>
        <w:rPr>
          <w:i/>
        </w:rPr>
        <w:t>tsawalk</w:t>
      </w:r>
      <w:proofErr w:type="spellEnd"/>
      <w:r>
        <w:rPr>
          <w:i/>
        </w:rPr>
        <w:t xml:space="preserve"> </w:t>
      </w:r>
      <w:r>
        <w:t xml:space="preserve">does not propose either to ignore polarity and fragmentation or to manage them through warfare; rather, it proposes to deal with these phenomena by viewing them as essential to life. This view transforms the problem of polarity, the problem of apparent fragmentation, into challenges, which, if met, will result in healthy growth and sustainable living for all creatures.” </w:t>
      </w:r>
    </w:p>
    <w:p w14:paraId="15DD36EC" w14:textId="77777777" w:rsidR="00076776" w:rsidRDefault="00000000">
      <w:pPr>
        <w:tabs>
          <w:tab w:val="left" w:pos="2800"/>
        </w:tabs>
      </w:pPr>
      <w:r>
        <w:t xml:space="preserve">93: </w:t>
      </w:r>
      <w:proofErr w:type="spellStart"/>
      <w:r>
        <w:rPr>
          <w:b/>
          <w:i/>
        </w:rPr>
        <w:t>q</w:t>
      </w:r>
      <w:r>
        <w:rPr>
          <w:b/>
        </w:rPr>
        <w:t>w</w:t>
      </w:r>
      <w:r>
        <w:rPr>
          <w:b/>
          <w:i/>
        </w:rPr>
        <w:t>aasasa</w:t>
      </w:r>
      <w:proofErr w:type="spellEnd"/>
      <w:r>
        <w:rPr>
          <w:b/>
          <w:i/>
        </w:rPr>
        <w:t xml:space="preserve"> </w:t>
      </w:r>
      <w:proofErr w:type="spellStart"/>
      <w:r>
        <w:rPr>
          <w:b/>
          <w:i/>
        </w:rPr>
        <w:t>iš</w:t>
      </w:r>
      <w:proofErr w:type="spellEnd"/>
      <w:r>
        <w:t xml:space="preserve">: “… a common phrase used to describe characteristic behaviour within traditional Nuu-chah-nulth society … “That’s just his way!” or “that’s just the way she is!” These are possible translations… also implies recognition that the purpose of life forms is not always evident or clear to observers. … refers to a democratic form of consent defined by a range of behaviour that is mutually agreeable and reciprocal within a society.” </w:t>
      </w:r>
    </w:p>
    <w:p w14:paraId="6290B67A" w14:textId="77777777" w:rsidR="00076776" w:rsidRDefault="00000000">
      <w:r>
        <w:t xml:space="preserve">110: </w:t>
      </w:r>
      <w:proofErr w:type="spellStart"/>
      <w:r>
        <w:rPr>
          <w:b/>
          <w:i/>
        </w:rPr>
        <w:t>Mamałn’i</w:t>
      </w:r>
      <w:proofErr w:type="spellEnd"/>
      <w:r>
        <w:t>: (</w:t>
      </w:r>
      <w:proofErr w:type="spellStart"/>
      <w:r>
        <w:t>mah-multh-ni</w:t>
      </w:r>
      <w:proofErr w:type="spellEnd"/>
      <w:r>
        <w:t xml:space="preserve">) white people… “To the Nuu-chah-nulth, the first ships that came to the west coast of Vancouver Island were marvels of technology. The word </w:t>
      </w:r>
      <w:proofErr w:type="spellStart"/>
      <w:r>
        <w:rPr>
          <w:i/>
        </w:rPr>
        <w:t>Mamałn’i</w:t>
      </w:r>
      <w:proofErr w:type="spellEnd"/>
      <w:r>
        <w:rPr>
          <w:i/>
        </w:rPr>
        <w:t xml:space="preserve">, </w:t>
      </w:r>
      <w:r>
        <w:t>used to describe white people, can be translated as “people of houseboat,” or simply as “boat people.” Prior to contact, the Nuu-chah-nulth had no experience of watercraft containing cabins large enough for human habitation.”</w:t>
      </w:r>
    </w:p>
    <w:p w14:paraId="64B55D66" w14:textId="77777777" w:rsidR="00076776" w:rsidRDefault="00000000">
      <w:r>
        <w:t xml:space="preserve">121-22: </w:t>
      </w:r>
      <w:r>
        <w:rPr>
          <w:b/>
        </w:rPr>
        <w:t>constitutional principle of continuity</w:t>
      </w:r>
      <w:r>
        <w:t>: “… the sacred right of life forms to continue to live in their own. integrity of being – is a co-management principle. This co-management principle is the same as is Elisabet Sahtouris’s idea of mutual consistency.</w:t>
      </w:r>
      <w:r>
        <w:rPr>
          <w:vertAlign w:val="superscript"/>
        </w:rPr>
        <w:t>4</w:t>
      </w:r>
      <w:r>
        <w:t xml:space="preserve">” [127] “… addresses the fundamental issue of the right of life forms to continue their ways of life…” </w:t>
      </w:r>
    </w:p>
    <w:p w14:paraId="1CCCFC15" w14:textId="77777777" w:rsidR="00076776" w:rsidRDefault="00000000">
      <w:r>
        <w:t xml:space="preserve">139: </w:t>
      </w:r>
      <w:proofErr w:type="spellStart"/>
      <w:r>
        <w:rPr>
          <w:b/>
          <w:i/>
        </w:rPr>
        <w:t>haḥuułism</w:t>
      </w:r>
      <w:proofErr w:type="spellEnd"/>
      <w:r>
        <w:t xml:space="preserve">: “… a word that I have created and use to describe a traditional Nuu-chah-nulth way of life… [140] represents a synthesis of worldviews as it translates indigenous knowledge into a Western philosophical framework with the intention of suggesting the possibility of an equitable and harmonious working relationship between the two ways of life. [141] … a way of life based on an ancient view of an integrated reality, which consists of the unity of the physical and the non-physical. [143] The principal origin story for </w:t>
      </w:r>
      <w:proofErr w:type="spellStart"/>
      <w:r>
        <w:rPr>
          <w:i/>
        </w:rPr>
        <w:t>haḥuułism</w:t>
      </w:r>
      <w:proofErr w:type="spellEnd"/>
      <w:r>
        <w:rPr>
          <w:i/>
        </w:rPr>
        <w:t xml:space="preserve"> </w:t>
      </w:r>
      <w:r>
        <w:t xml:space="preserve">is Son of Raven and his community. This is because it combines two major dimensions of a single reality – the physical and the non-physical.” What follows this, pp. 143-44, is </w:t>
      </w:r>
      <w:proofErr w:type="spellStart"/>
      <w:r>
        <w:t>Umeek’s</w:t>
      </w:r>
      <w:proofErr w:type="spellEnd"/>
      <w:r>
        <w:t xml:space="preserve"> list of “primary characteristics of creation.” </w:t>
      </w:r>
    </w:p>
    <w:p w14:paraId="7EEF65ED" w14:textId="77777777" w:rsidR="00076776" w:rsidRDefault="00000000">
      <w:r>
        <w:t xml:space="preserve">141 </w:t>
      </w:r>
      <w:r>
        <w:rPr>
          <w:b/>
          <w:i/>
        </w:rPr>
        <w:t>qua</w:t>
      </w:r>
      <w:r>
        <w:t xml:space="preserve">: “that which is … a Nuu-chah-nulth word that includes every aspect of reality – empirical and non-empirical, physical and non-physical, normal and paranormal – which, in terms of human development, is reflected in the physical body and its non-physical soul/spirit. </w:t>
      </w:r>
    </w:p>
    <w:p w14:paraId="41262D0F" w14:textId="77777777" w:rsidR="00076776" w:rsidRDefault="00000000">
      <w:r>
        <w:lastRenderedPageBreak/>
        <w:t xml:space="preserve">148 </w:t>
      </w:r>
      <w:r>
        <w:rPr>
          <w:b/>
        </w:rPr>
        <w:t>a good story</w:t>
      </w:r>
      <w:r>
        <w:t xml:space="preserve">: “Thomas Berry might agree that this could be one definition of a good story: </w:t>
      </w:r>
      <w:r>
        <w:rPr>
          <w:b/>
        </w:rPr>
        <w:t>its ability to contribute to community well-being</w:t>
      </w:r>
      <w:r>
        <w:t xml:space="preserve">. … If the story reflects a credible truth about existence, then this truth is independent of time: it is timeless. … Ultimately, the story, like a parable, is about life as its truths are made manifest in the pragmatic provision of food, clothing, housing, and a measure of security of person.” </w:t>
      </w:r>
    </w:p>
    <w:p w14:paraId="709B6AF1" w14:textId="77777777" w:rsidR="00076776" w:rsidRDefault="00076776"/>
    <w:p w14:paraId="15629F3B" w14:textId="77777777" w:rsidR="00076776" w:rsidRDefault="00076776"/>
    <w:p w14:paraId="038361B2" w14:textId="77777777" w:rsidR="00076776" w:rsidRDefault="00000000">
      <w:pPr>
        <w:pStyle w:val="Heading2"/>
      </w:pPr>
      <w:r>
        <w:t>Core quotes</w:t>
      </w:r>
    </w:p>
    <w:p w14:paraId="6247932C" w14:textId="77777777" w:rsidR="00076776" w:rsidRDefault="00076776"/>
    <w:p w14:paraId="6EE5F0F3" w14:textId="77777777" w:rsidR="00076776" w:rsidRDefault="00000000">
      <w:r>
        <w:t>12-13 @</w:t>
      </w:r>
      <w:proofErr w:type="gramStart"/>
      <w:r>
        <w:t>SpacePlaceL?@</w:t>
      </w:r>
      <w:proofErr w:type="gramEnd"/>
      <w:r>
        <w:t>Ontol</w:t>
      </w:r>
    </w:p>
    <w:p w14:paraId="06597EAF" w14:textId="77777777" w:rsidR="00076776" w:rsidRDefault="00000000">
      <w:pPr>
        <w:ind w:left="720"/>
      </w:pPr>
      <w:r>
        <w:t xml:space="preserve">Like the Nuu-chah-nulth, the people of Shishmaref have a legacy of </w:t>
      </w:r>
      <w:proofErr w:type="spellStart"/>
      <w:r>
        <w:t>himwic̓a</w:t>
      </w:r>
      <w:proofErr w:type="spellEnd"/>
      <w:r>
        <w:t xml:space="preserve"> (or storytelling). Their stories are about their land, which is full of their own histories, about the great exploits of their grandparents and the great discoveries of their first peoples. It seems that all indigenous peoples have songs, dances, and ceremonies that accompany their stories. And always they have something that Nuu-chah-nulth call </w:t>
      </w:r>
      <w:r>
        <w:rPr>
          <w:i/>
        </w:rPr>
        <w:t>tupati</w:t>
      </w:r>
      <w:r>
        <w:t>,</w:t>
      </w:r>
      <w:r>
        <w:rPr>
          <w:vertAlign w:val="superscript"/>
        </w:rPr>
        <w:t>6</w:t>
      </w:r>
      <w:r>
        <w:t xml:space="preserve"> or the empirical demonstration of spiritual power. </w:t>
      </w:r>
      <w:r>
        <w:rPr>
          <w:b/>
        </w:rPr>
        <w:t>It is this attachment to the land</w:t>
      </w:r>
      <w:r>
        <w:t xml:space="preserve">, </w:t>
      </w:r>
      <w:proofErr w:type="spellStart"/>
      <w:r>
        <w:rPr>
          <w:b/>
          <w:i/>
        </w:rPr>
        <w:t>Ḥaw’iłume</w:t>
      </w:r>
      <w:proofErr w:type="spellEnd"/>
      <w:r>
        <w:t>, represented by stories, songs, dances, and ceremonies, together with a contemporary history, that is bound up with the deep and powerful sense of home felt by the Shishmaref students.</w:t>
      </w:r>
    </w:p>
    <w:p w14:paraId="325DC256" w14:textId="77777777" w:rsidR="00076776" w:rsidRDefault="00076776"/>
    <w:p w14:paraId="51F53103" w14:textId="77777777" w:rsidR="00076776" w:rsidRDefault="00000000">
      <w:r>
        <w:t>33-34 @Techtopia@IK@ManDest@IKSG</w:t>
      </w:r>
    </w:p>
    <w:p w14:paraId="46661CC7" w14:textId="77777777" w:rsidR="00076776" w:rsidRDefault="00000000">
      <w:pPr>
        <w:ind w:left="720"/>
      </w:pPr>
      <w:r>
        <w:rPr>
          <w:b/>
        </w:rPr>
        <w:t>If humankind is experiencing a crisis of perception</w:t>
      </w:r>
      <w:r>
        <w:t>, as Capra states, and a problem of recognition, as Fukuyama suggests, then another significant part of the problem may lie with the human capacity to attain a sense of superiority. George Soros … writes: “Mankind’s power over nature has increased cumulatively while its ability to govern itself has not kept pace.”</w:t>
      </w:r>
      <w:r>
        <w:rPr>
          <w:vertAlign w:val="superscript"/>
        </w:rPr>
        <w:t>56</w:t>
      </w:r>
      <w:r>
        <w:t xml:space="preserve"> He argues, moreover, that “the Age of Reason ought to yield to the Age of Fallibility. That would be progress.”</w:t>
      </w:r>
      <w:r>
        <w:rPr>
          <w:vertAlign w:val="superscript"/>
        </w:rPr>
        <w:t>57</w:t>
      </w:r>
      <w:r>
        <w:t xml:space="preserve"> / Son of Raven would agree. </w:t>
      </w:r>
      <w:r>
        <w:rPr>
          <w:highlight w:val="green"/>
        </w:rPr>
        <w:t xml:space="preserve">It appears that </w:t>
      </w:r>
      <w:r>
        <w:rPr>
          <w:b/>
          <w:highlight w:val="green"/>
        </w:rPr>
        <w:t>technological progress has been equated to, and mistaken for, human development</w:t>
      </w:r>
      <w:r>
        <w:rPr>
          <w:highlight w:val="green"/>
        </w:rPr>
        <w:t>.</w:t>
      </w:r>
    </w:p>
    <w:p w14:paraId="566ACC38" w14:textId="77777777" w:rsidR="00076776" w:rsidRDefault="00076776">
      <w:pPr>
        <w:rPr>
          <w:b/>
        </w:rPr>
      </w:pPr>
    </w:p>
    <w:p w14:paraId="5A295696" w14:textId="77777777" w:rsidR="00076776" w:rsidRDefault="00000000">
      <w:r>
        <w:t>88 @Hegem@Law@Polity@SettPsych</w:t>
      </w:r>
    </w:p>
    <w:p w14:paraId="7EEB94F3" w14:textId="77777777" w:rsidR="00076776" w:rsidRDefault="00000000">
      <w:pPr>
        <w:ind w:left="720"/>
      </w:pPr>
      <w:r>
        <w:t xml:space="preserve">The inability to see and to recognize indigenous peoples is a colonial legacy. In other words, much of contemporary law and politics is based on the hegemonic thinking that was predominant in the Enlightenment and that resulted in </w:t>
      </w:r>
      <w:r>
        <w:rPr>
          <w:b/>
        </w:rPr>
        <w:t xml:space="preserve">the application to Aboriginal peoples of a general state of </w:t>
      </w:r>
      <w:proofErr w:type="spellStart"/>
      <w:r>
        <w:rPr>
          <w:b/>
        </w:rPr>
        <w:t>ahistoricity</w:t>
      </w:r>
      <w:proofErr w:type="spellEnd"/>
      <w:r>
        <w:t>.</w:t>
      </w:r>
    </w:p>
    <w:p w14:paraId="2EBE3407" w14:textId="77777777" w:rsidR="00076776" w:rsidRDefault="00076776"/>
    <w:p w14:paraId="51DEACDC" w14:textId="77777777" w:rsidR="00076776" w:rsidRDefault="00000000">
      <w:r>
        <w:t>106 @IK@Law@ISr@Acad@Rascist</w:t>
      </w:r>
    </w:p>
    <w:p w14:paraId="669A563A" w14:textId="77777777" w:rsidR="00076776" w:rsidRDefault="00000000">
      <w:r>
        <w:t xml:space="preserve">Re, the potlatch ban (1884): </w:t>
      </w:r>
    </w:p>
    <w:p w14:paraId="49EAD4E6" w14:textId="77777777" w:rsidR="00076776" w:rsidRDefault="00000000">
      <w:pPr>
        <w:ind w:left="720"/>
      </w:pPr>
      <w:r>
        <w:t>While for some scholars the issues are academic and without personal meaning, there is likely no effective way to convey the full meaning of this ban except to compare it to an unthinkable act that would have similarly disastrous consequences – a ban of both the institution and practice of the Canadian Parliament.</w:t>
      </w:r>
    </w:p>
    <w:p w14:paraId="50F64FA0" w14:textId="77777777" w:rsidR="00076776" w:rsidRDefault="00076776"/>
    <w:p w14:paraId="14597F53" w14:textId="77777777" w:rsidR="00076776" w:rsidRDefault="00000000">
      <w:r>
        <w:t>125 @IVSS@Narr@Ontol@ISr@IndHist@IKSG</w:t>
      </w:r>
    </w:p>
    <w:p w14:paraId="48765098" w14:textId="77777777" w:rsidR="00076776" w:rsidRDefault="00000000">
      <w:pPr>
        <w:ind w:left="720"/>
      </w:pPr>
      <w:r>
        <w:lastRenderedPageBreak/>
        <w:t>Since the “</w:t>
      </w:r>
      <w:r>
        <w:rPr>
          <w:b/>
        </w:rPr>
        <w:t>story of the land</w:t>
      </w:r>
      <w:r>
        <w:t xml:space="preserve">” has been told primarily from the colonizer’s perspective, the </w:t>
      </w:r>
      <w:r>
        <w:rPr>
          <w:i/>
        </w:rPr>
        <w:t xml:space="preserve">full </w:t>
      </w:r>
      <w:r>
        <w:t>story remains hidden. The official version of the history of North America began at contact – specifically, when Columbus landed in 1492.</w:t>
      </w:r>
    </w:p>
    <w:p w14:paraId="7DFEAEF5" w14:textId="77777777" w:rsidR="00076776" w:rsidRDefault="00076776"/>
    <w:p w14:paraId="2E8AE1BE" w14:textId="77777777" w:rsidR="00076776" w:rsidRDefault="00000000">
      <w:r>
        <w:t>@Link:</w:t>
      </w:r>
      <w:r>
        <w:rPr>
          <w:highlight w:val="magenta"/>
        </w:rPr>
        <w:t>Rose-Redwood</w:t>
      </w:r>
      <w:r>
        <w:t xml:space="preserve"> on [201] </w:t>
      </w:r>
      <w:proofErr w:type="spellStart"/>
      <w:r>
        <w:rPr>
          <w:b/>
        </w:rPr>
        <w:t>storyscapes</w:t>
      </w:r>
      <w:proofErr w:type="spellEnd"/>
      <w:r>
        <w:t xml:space="preserve">: “While there are multiple fronts on which Indigenous struggles for self-determination are currently being waged, the reclamation of Indigenous </w:t>
      </w:r>
      <w:proofErr w:type="spellStart"/>
      <w:r>
        <w:t>storyscapes</w:t>
      </w:r>
      <w:proofErr w:type="spellEnd"/>
      <w:r>
        <w:t xml:space="preserve"> through the rituals of naming is a powerful means of achieving what TEMOSEN (Charles Elliot) has called “a small bit of decolonization” that may very well go a long way (as quoted in Dickson, 2014).</w:t>
      </w:r>
    </w:p>
    <w:p w14:paraId="21030FB7" w14:textId="77777777" w:rsidR="00076776" w:rsidRDefault="00076776"/>
    <w:p w14:paraId="0D7EA338" w14:textId="77777777" w:rsidR="00076776" w:rsidRDefault="00000000">
      <w:r>
        <w:t>130 @Erase@</w:t>
      </w:r>
      <w:proofErr w:type="gramStart"/>
      <w:r>
        <w:t>L?@</w:t>
      </w:r>
      <w:proofErr w:type="gramEnd"/>
      <w:r>
        <w:t>SpacePlace</w:t>
      </w:r>
    </w:p>
    <w:p w14:paraId="4E48569D" w14:textId="77777777" w:rsidR="00076776" w:rsidRDefault="00000000">
      <w:pPr>
        <w:ind w:left="720"/>
      </w:pPr>
      <w:r>
        <w:rPr>
          <w:b/>
        </w:rPr>
        <w:t>The Supreme Court of Canada holds the position that to maintain an identity described as “distinctive,” Aboriginal societies must be unchangeable.</w:t>
      </w:r>
      <w:r>
        <w:t xml:space="preserve"> In effect, the judicial system, which, through the Indian Act, directly contributed to the erasure of Aboriginal identity and the forceful distortion of First Nations lifeways, now demands that any claim to land title be based, in part, on these same lifeways.</w:t>
      </w:r>
    </w:p>
    <w:p w14:paraId="482F9283" w14:textId="77777777" w:rsidR="00076776" w:rsidRDefault="00076776">
      <w:pPr>
        <w:rPr>
          <w:b/>
        </w:rPr>
      </w:pPr>
    </w:p>
    <w:p w14:paraId="64147E62" w14:textId="77777777" w:rsidR="00076776" w:rsidRDefault="00000000">
      <w:r>
        <w:t xml:space="preserve">@K? Could we say that maps, maybe, make a space </w:t>
      </w:r>
      <w:r>
        <w:rPr>
          <w:i/>
        </w:rPr>
        <w:t>feel</w:t>
      </w:r>
      <w:r>
        <w:t xml:space="preserve"> “permanent”?</w:t>
      </w:r>
    </w:p>
    <w:p w14:paraId="01416ACB" w14:textId="77777777" w:rsidR="00076776" w:rsidRDefault="00076776"/>
    <w:p w14:paraId="45AAA485" w14:textId="77777777" w:rsidR="00076776" w:rsidRDefault="00000000">
      <w:r>
        <w:t>133 @Border@Ontol@SpacePlace</w:t>
      </w:r>
    </w:p>
    <w:p w14:paraId="3E7653B1" w14:textId="77777777" w:rsidR="00076776" w:rsidRDefault="00000000">
      <w:pPr>
        <w:ind w:left="720"/>
      </w:pPr>
      <w:r>
        <w:t xml:space="preserve">After a process of trial and error, the ancient Nuu-chah-nulth learned how to respect the integrity of </w:t>
      </w:r>
      <w:r>
        <w:rPr>
          <w:b/>
        </w:rPr>
        <w:t>the boundary between the physical and the non-physical</w:t>
      </w:r>
      <w:r>
        <w:t xml:space="preserve">. This boundary is found primarily within the person, the </w:t>
      </w:r>
      <w:proofErr w:type="spellStart"/>
      <w:r>
        <w:rPr>
          <w:i/>
        </w:rPr>
        <w:t>quuʔas</w:t>
      </w:r>
      <w:proofErr w:type="spellEnd"/>
      <w:r>
        <w:t>. Becoming, metaphorically, like an insignificant leaf involves purposefully shifting internal personal boundaries between the ego of self and the spirit of self. This is a description of polarity, of inner conflict, that is found naturally within any given being. … This is not a description of humiliation or debasement but, rather, an acknowledgment of the relative insignificance of the human in comparison to a creation that remains mostly a mystery. Any distortion of the boundary of self that places it beyond the boundaries of this insignificance must, by definition, violate the principle of continuity.</w:t>
      </w:r>
    </w:p>
    <w:p w14:paraId="5C757648" w14:textId="77777777" w:rsidR="00076776" w:rsidRDefault="00076776"/>
    <w:p w14:paraId="21477EDA" w14:textId="77777777" w:rsidR="00076776" w:rsidRDefault="00000000">
      <w:pPr>
        <w:tabs>
          <w:tab w:val="left" w:pos="2867"/>
        </w:tabs>
      </w:pPr>
      <w:r>
        <w:rPr>
          <w:highlight w:val="green"/>
        </w:rPr>
        <w:t>136-37 @</w:t>
      </w:r>
      <w:proofErr w:type="gramStart"/>
      <w:r>
        <w:rPr>
          <w:highlight w:val="green"/>
        </w:rPr>
        <w:t>Motherlode!@</w:t>
      </w:r>
      <w:proofErr w:type="gramEnd"/>
      <w:r>
        <w:rPr>
          <w:highlight w:val="green"/>
        </w:rPr>
        <w:t>L?</w:t>
      </w:r>
      <w:r>
        <w:tab/>
      </w:r>
    </w:p>
    <w:p w14:paraId="4EDA2ABD" w14:textId="77777777" w:rsidR="00076776" w:rsidRDefault="00000000">
      <w:pPr>
        <w:tabs>
          <w:tab w:val="left" w:pos="2867"/>
        </w:tabs>
      </w:pPr>
      <w:r>
        <w:t xml:space="preserve">Re, “In 1792, from 29 April to 21 September, José Mariano </w:t>
      </w:r>
      <w:proofErr w:type="spellStart"/>
      <w:r>
        <w:t>Moziño</w:t>
      </w:r>
      <w:proofErr w:type="spellEnd"/>
      <w:r>
        <w:t>, a botanist-naturalist given to scientific observation, made journal notes about the Nuu-chah-nulth…” and the “</w:t>
      </w:r>
      <w:proofErr w:type="spellStart"/>
      <w:r>
        <w:rPr>
          <w:i/>
        </w:rPr>
        <w:t>Nuuchahnulth</w:t>
      </w:r>
      <w:proofErr w:type="spellEnd"/>
      <w:r>
        <w:rPr>
          <w:i/>
        </w:rPr>
        <w:t xml:space="preserve"> Relationship to Land</w:t>
      </w:r>
      <w:r>
        <w:t xml:space="preserve">” section: </w:t>
      </w:r>
    </w:p>
    <w:p w14:paraId="22A681AF" w14:textId="77777777" w:rsidR="00076776" w:rsidRDefault="00076776">
      <w:pPr>
        <w:tabs>
          <w:tab w:val="left" w:pos="2867"/>
        </w:tabs>
      </w:pPr>
    </w:p>
    <w:p w14:paraId="68C9D510" w14:textId="77777777" w:rsidR="00076776" w:rsidRDefault="00000000">
      <w:pPr>
        <w:tabs>
          <w:tab w:val="left" w:pos="2867"/>
        </w:tabs>
        <w:ind w:left="720"/>
      </w:pPr>
      <w:proofErr w:type="spellStart"/>
      <w:r>
        <w:t>Moziño</w:t>
      </w:r>
      <w:proofErr w:type="spellEnd"/>
      <w:r>
        <w:t xml:space="preserve"> makes no mention of the special relationship that the Nuu-</w:t>
      </w:r>
      <w:proofErr w:type="spellStart"/>
      <w:r>
        <w:t>chah</w:t>
      </w:r>
      <w:proofErr w:type="spellEnd"/>
      <w:r>
        <w:t xml:space="preserve">- </w:t>
      </w:r>
      <w:proofErr w:type="spellStart"/>
      <w:r>
        <w:t>nulth</w:t>
      </w:r>
      <w:proofErr w:type="spellEnd"/>
      <w:r>
        <w:t xml:space="preserve"> had with their land. Just as, in 1997, the Supreme Court of Canada could not define the specifics of Aboriginal peoples’ relationship to land, so in 1792 </w:t>
      </w:r>
      <w:proofErr w:type="spellStart"/>
      <w:r>
        <w:t>Mozino</w:t>
      </w:r>
      <w:proofErr w:type="spellEnd"/>
      <w:r>
        <w:t xml:space="preserve"> was unable to define the specifics of the Nuu-chah-nulth relationship to land. … Much of what today is called a special relationship to land has now been usurped by environmentalists, some of whom strive to emulate and even appropriate what they believe to be Aboriginal attitudes towards nature. For example, environmentalists on the west coast of Vancouver Island may describe the temperate rain forests as being like a cathedral or a temple. These descriptions are somewhat correct, in the same limited way as describing a head chief as a high priest or king. // But </w:t>
      </w:r>
      <w:r>
        <w:rPr>
          <w:b/>
        </w:rPr>
        <w:t xml:space="preserve">even the phrase “special relationship to land” is a </w:t>
      </w:r>
      <w:r>
        <w:rPr>
          <w:b/>
        </w:rPr>
        <w:lastRenderedPageBreak/>
        <w:t>distortion of Aboriginal views</w:t>
      </w:r>
      <w:r>
        <w:t xml:space="preserve">, a point well illustrated by a question that was asked by scientists on the Scientific Panel for Sustainable Forest Practices in Clayoquot Sound: </w:t>
      </w:r>
      <w:r>
        <w:rPr>
          <w:b/>
        </w:rPr>
        <w:t>“Where are your sacred sites?” This question assumes that “sacred” is separate from what those in the Western world call “profane.”</w:t>
      </w:r>
      <w:r>
        <w:t xml:space="preserve"> // The Nuu-chah-nulth relationship to land is implied in the term “</w:t>
      </w:r>
      <w:proofErr w:type="spellStart"/>
      <w:r>
        <w:rPr>
          <w:i/>
        </w:rPr>
        <w:t>Ḥaw’iłume</w:t>
      </w:r>
      <w:proofErr w:type="spellEnd"/>
      <w:r>
        <w:t xml:space="preserve">,” which means “Wealthy Mother Earth.” A mother is recognized for her ability to bear children and to nourish them from her breasts. Wealthy in all ways, physically and spiritually, she provides an abundance of physical nourishment while she cooperates spiritually in the provision of her branches, leaves, and roots so that, in the sacred practice of the </w:t>
      </w:r>
      <w:proofErr w:type="spellStart"/>
      <w:r>
        <w:rPr>
          <w:i/>
        </w:rPr>
        <w:t>ʔuusumc</w:t>
      </w:r>
      <w:proofErr w:type="spellEnd"/>
      <w:r>
        <w:rPr>
          <w:i/>
        </w:rPr>
        <w:t>̌</w:t>
      </w:r>
      <w:r>
        <w:t xml:space="preserve">, the intended unity of all things physical and spiritual can be realized. From the point of view of governance, national boundaries, and the egalitarian distribution of political goods, the Nuu-chah-nulth relationship to land is [137] bound up in the sovereign notion of </w:t>
      </w:r>
      <w:proofErr w:type="spellStart"/>
      <w:r>
        <w:rPr>
          <w:i/>
        </w:rPr>
        <w:t>haḥuułi</w:t>
      </w:r>
      <w:proofErr w:type="spellEnd"/>
      <w:r>
        <w:t xml:space="preserve">. In this one word can be found a metaphor for creation’s intended purpose and unity – </w:t>
      </w:r>
      <w:r>
        <w:rPr>
          <w:i/>
        </w:rPr>
        <w:t>ha</w:t>
      </w:r>
      <w:r>
        <w:t xml:space="preserve"> (that which is empirically close and observable), </w:t>
      </w:r>
      <w:proofErr w:type="spellStart"/>
      <w:r>
        <w:rPr>
          <w:i/>
        </w:rPr>
        <w:t>ḥuu</w:t>
      </w:r>
      <w:proofErr w:type="spellEnd"/>
      <w:r>
        <w:t xml:space="preserve"> (that which is hidden and beyond), and </w:t>
      </w:r>
      <w:r>
        <w:rPr>
          <w:i/>
        </w:rPr>
        <w:t xml:space="preserve">ł </w:t>
      </w:r>
      <w:r>
        <w:t xml:space="preserve">(the land upon which </w:t>
      </w:r>
      <w:r>
        <w:rPr>
          <w:i/>
        </w:rPr>
        <w:t>ha</w:t>
      </w:r>
      <w:r>
        <w:t xml:space="preserve"> and </w:t>
      </w:r>
      <w:proofErr w:type="spellStart"/>
      <w:r>
        <w:rPr>
          <w:i/>
        </w:rPr>
        <w:t>ḥuu</w:t>
      </w:r>
      <w:proofErr w:type="spellEnd"/>
      <w:r>
        <w:t xml:space="preserve"> are ceremonially brought together through the practice of the </w:t>
      </w:r>
      <w:proofErr w:type="spellStart"/>
      <w:r>
        <w:rPr>
          <w:i/>
        </w:rPr>
        <w:t>ʔuusumc</w:t>
      </w:r>
      <w:proofErr w:type="spellEnd"/>
      <w:r>
        <w:rPr>
          <w:i/>
        </w:rPr>
        <w:t>̌</w:t>
      </w:r>
      <w:r>
        <w:t>).</w:t>
      </w:r>
    </w:p>
    <w:p w14:paraId="21FFB363" w14:textId="77777777" w:rsidR="00076776" w:rsidRDefault="00076776"/>
    <w:p w14:paraId="69919802" w14:textId="77777777" w:rsidR="00076776" w:rsidRDefault="00000000">
      <w:r>
        <w:t>140 @Reason@Decol@Ontol@IK@Dual@IKSG</w:t>
      </w:r>
    </w:p>
    <w:p w14:paraId="118163AA" w14:textId="77777777" w:rsidR="00076776" w:rsidRDefault="00000000">
      <w:proofErr w:type="spellStart"/>
      <w:r>
        <w:t>Haḥuułism</w:t>
      </w:r>
      <w:proofErr w:type="spellEnd"/>
      <w:r>
        <w:t xml:space="preserve"> as, in part, a counter-reductionism, an answer to a Western “reductionist method:” </w:t>
      </w:r>
    </w:p>
    <w:p w14:paraId="2BD9298E" w14:textId="77777777" w:rsidR="00076776" w:rsidRDefault="00000000">
      <w:pPr>
        <w:ind w:left="720"/>
      </w:pPr>
      <w:r>
        <w:t xml:space="preserve">The Nuu-chah-nulth struggle towards wholeness meant </w:t>
      </w:r>
      <w:r>
        <w:rPr>
          <w:b/>
        </w:rPr>
        <w:t>a deliberate exclusion of any form of reductionism</w:t>
      </w:r>
      <w:r>
        <w:t>. In fact, any emphasis upon reducing the interconnected nature of reality was considered as a step towards weakness, which is why it was taught that everyone should learn to ask for help whenever help was needed.</w:t>
      </w:r>
    </w:p>
    <w:p w14:paraId="451BFA49" w14:textId="77777777" w:rsidR="00076776" w:rsidRDefault="00076776">
      <w:pPr>
        <w:ind w:left="720"/>
      </w:pPr>
    </w:p>
    <w:p w14:paraId="5D5DAA38" w14:textId="77777777" w:rsidR="00076776" w:rsidRDefault="00000000">
      <w:r>
        <w:t>142 @</w:t>
      </w:r>
      <w:proofErr w:type="gramStart"/>
      <w:r>
        <w:t>Boom!@</w:t>
      </w:r>
      <w:proofErr w:type="gramEnd"/>
      <w:r>
        <w:t>IK@Polity@Dual@FFessay@IKSG</w:t>
      </w:r>
    </w:p>
    <w:p w14:paraId="6D580F2A" w14:textId="77777777" w:rsidR="00076776" w:rsidRDefault="00000000">
      <w:pPr>
        <w:ind w:left="720"/>
      </w:pPr>
      <w:r>
        <w:rPr>
          <w:b/>
        </w:rPr>
        <w:t>Inherent polarity</w:t>
      </w:r>
      <w:r>
        <w:t xml:space="preserve">, presented as conflict, is resolved through a deliberate exercise of liberal democratic constitutionalism, here defined as the </w:t>
      </w:r>
      <w:proofErr w:type="spellStart"/>
      <w:r>
        <w:rPr>
          <w:i/>
        </w:rPr>
        <w:t>haḥuułic</w:t>
      </w:r>
      <w:proofErr w:type="spellEnd"/>
      <w:r>
        <w:rPr>
          <w:i/>
        </w:rPr>
        <w:t xml:space="preserve"> </w:t>
      </w:r>
      <w:r>
        <w:t xml:space="preserve">principles of recognition, consent, and respect, which enables life forms to continue in their diverse ways. </w:t>
      </w:r>
      <w:r>
        <w:rPr>
          <w:b/>
        </w:rPr>
        <w:t>Balance and harmony are forged out of inherent polarity.</w:t>
      </w:r>
    </w:p>
    <w:p w14:paraId="664AC2E1" w14:textId="77777777" w:rsidR="00076776" w:rsidRDefault="00076776">
      <w:pPr>
        <w:rPr>
          <w:b/>
        </w:rPr>
      </w:pPr>
    </w:p>
    <w:p w14:paraId="5D231EE8" w14:textId="77777777" w:rsidR="00076776" w:rsidRDefault="00000000">
      <w:r>
        <w:t>143 @ISr@IK</w:t>
      </w:r>
    </w:p>
    <w:p w14:paraId="27659D13" w14:textId="77777777" w:rsidR="00076776" w:rsidRDefault="00000000">
      <w:r>
        <w:t xml:space="preserve">Very topical </w:t>
      </w:r>
      <w:proofErr w:type="gramStart"/>
      <w:r>
        <w:t>in light of</w:t>
      </w:r>
      <w:proofErr w:type="gramEnd"/>
      <w:r>
        <w:t xml:space="preserve"> current political climate in BC… </w:t>
      </w:r>
    </w:p>
    <w:p w14:paraId="00479FDF" w14:textId="77777777" w:rsidR="00076776" w:rsidRDefault="00000000">
      <w:pPr>
        <w:ind w:left="720"/>
      </w:pPr>
      <w:r>
        <w:rPr>
          <w:b/>
        </w:rPr>
        <w:t>Mutual knowledge about one another is a simple necessity</w:t>
      </w:r>
      <w:r>
        <w:t xml:space="preserve">. … </w:t>
      </w:r>
      <w:r>
        <w:rPr>
          <w:i/>
        </w:rPr>
        <w:t xml:space="preserve"> </w:t>
      </w:r>
      <w:r>
        <w:t>Within this framework of reality [</w:t>
      </w:r>
      <w:proofErr w:type="spellStart"/>
      <w:proofErr w:type="gramStart"/>
      <w:r>
        <w:t>ʔ</w:t>
      </w:r>
      <w:r>
        <w:rPr>
          <w:i/>
        </w:rPr>
        <w:t>uusumc</w:t>
      </w:r>
      <w:proofErr w:type="spellEnd"/>
      <w:r>
        <w:rPr>
          <w:i/>
        </w:rPr>
        <w:t>̌</w:t>
      </w:r>
      <w:r>
        <w:t xml:space="preserve"> ]</w:t>
      </w:r>
      <w:proofErr w:type="gramEnd"/>
      <w:r>
        <w:t xml:space="preserve"> it was unconstitutional for one life form to make decisions on behalf of other life forms. The Nuu-chah-nulth did not decide unilaterally how to relate to the Salmon people; rather</w:t>
      </w:r>
      <w:r>
        <w:rPr>
          <w:b/>
        </w:rPr>
        <w:t>, through a reciprocal form of communication the former and the latter came to an agreement</w:t>
      </w:r>
      <w:r>
        <w:t>.</w:t>
      </w:r>
    </w:p>
    <w:p w14:paraId="56CCE9CE" w14:textId="77777777" w:rsidR="00076776" w:rsidRDefault="00076776"/>
    <w:p w14:paraId="0E325BBB" w14:textId="77777777" w:rsidR="00076776" w:rsidRDefault="00000000">
      <w:pPr>
        <w:pStyle w:val="Heading2"/>
      </w:pPr>
      <w:r>
        <w:t>Secondary quotes</w:t>
      </w:r>
    </w:p>
    <w:p w14:paraId="3CF5D945" w14:textId="77777777" w:rsidR="00076776" w:rsidRDefault="00000000">
      <w:r>
        <w:t>1 @</w:t>
      </w:r>
      <w:proofErr w:type="gramStart"/>
      <w:r>
        <w:t>Link:Harris</w:t>
      </w:r>
      <w:proofErr w:type="gramEnd"/>
      <w:r>
        <w:t xml:space="preserve"> </w:t>
      </w:r>
      <w:r>
        <w:rPr>
          <w:highlight w:val="magenta"/>
        </w:rPr>
        <w:t>Gilbert Sproat</w:t>
      </w:r>
      <w:r>
        <w:t xml:space="preserve">’s colonial worldview (tech) versus </w:t>
      </w:r>
      <w:proofErr w:type="spellStart"/>
      <w:r>
        <w:t>Haw’il</w:t>
      </w:r>
      <w:proofErr w:type="spellEnd"/>
      <w:r>
        <w:t xml:space="preserve"> </w:t>
      </w:r>
      <w:proofErr w:type="spellStart"/>
      <w:r>
        <w:t>Shewish</w:t>
      </w:r>
      <w:proofErr w:type="spellEnd"/>
      <w:r>
        <w:t xml:space="preserve"> of the Tseshaht (care for Mother Earth … and the dark side of civilization’s astonishing accomplishments.” / 29 </w:t>
      </w:r>
      <w:proofErr w:type="spellStart"/>
      <w:r>
        <w:t>NeoLib</w:t>
      </w:r>
      <w:proofErr w:type="spellEnd"/>
      <w:r>
        <w:t xml:space="preserve">: “Could it be argued that the </w:t>
      </w:r>
      <w:r>
        <w:rPr>
          <w:i/>
        </w:rPr>
        <w:t xml:space="preserve">idea </w:t>
      </w:r>
      <w:r>
        <w:t xml:space="preserve">of liberalism has triumphed but not necessarily the </w:t>
      </w:r>
      <w:r>
        <w:rPr>
          <w:i/>
        </w:rPr>
        <w:t xml:space="preserve">practice </w:t>
      </w:r>
      <w:r>
        <w:t xml:space="preserve">of </w:t>
      </w:r>
      <w:proofErr w:type="gramStart"/>
      <w:r>
        <w:t>liberalism?,</w:t>
      </w:r>
      <w:proofErr w:type="gramEnd"/>
      <w:r>
        <w:t xml:space="preserve">” followed by more on democracy. / 32 @Dual “What is the presenting symptom that characterizes the current world order? Chellis declares that it is </w:t>
      </w:r>
      <w:r>
        <w:rPr>
          <w:i/>
        </w:rPr>
        <w:t>separation and divisiveness.</w:t>
      </w:r>
      <w:r>
        <w:t xml:space="preserve">53” / 35 </w:t>
      </w:r>
      <w:proofErr w:type="spellStart"/>
      <w:r>
        <w:t>Umeek’s</w:t>
      </w:r>
      <w:proofErr w:type="spellEnd"/>
      <w:r>
        <w:t xml:space="preserve"> predication: that order must exist: “</w:t>
      </w:r>
      <w:r>
        <w:rPr>
          <w:b/>
        </w:rPr>
        <w:t>Since there definitely appears to be a kind of order</w:t>
      </w:r>
      <w:r>
        <w:t xml:space="preserve">, a method to the madness, how do we fit into the </w:t>
      </w:r>
      <w:r>
        <w:lastRenderedPageBreak/>
        <w:t xml:space="preserve">scheme of things?” / @ISr@IndHist: “Until the </w:t>
      </w:r>
      <w:r>
        <w:rPr>
          <w:b/>
        </w:rPr>
        <w:t>arrival of Europeans</w:t>
      </w:r>
      <w:r>
        <w:t xml:space="preserve"> on Nuu-chah-nulth shores, the task of achieving balance and harmony between various life forms – between wolf and deer, between Nuu-chah-nulth and salmon, and between Nuu-chah-nulth and Nuu-chah-nulth – had been hard won through the development of </w:t>
      </w:r>
      <w:r>
        <w:rPr>
          <w:b/>
        </w:rPr>
        <w:t>protocols</w:t>
      </w:r>
      <w:r>
        <w:t>.” / 41 “</w:t>
      </w:r>
      <w:r>
        <w:rPr>
          <w:b/>
          <w:i/>
        </w:rPr>
        <w:t xml:space="preserve">Princess Maquinna, </w:t>
      </w:r>
      <w:r>
        <w:rPr>
          <w:b/>
        </w:rPr>
        <w:t xml:space="preserve">a passenger and freight boat </w:t>
      </w:r>
      <w:r>
        <w:t xml:space="preserve">designed and built in 1912 for the rugged West Coast…” / 43 “… some were also fluent in the trade language known as </w:t>
      </w:r>
      <w:r>
        <w:rPr>
          <w:b/>
        </w:rPr>
        <w:t>Chinook</w:t>
      </w:r>
      <w:r>
        <w:t xml:space="preserve">.” / 44 “… my time at the </w:t>
      </w:r>
      <w:r>
        <w:rPr>
          <w:b/>
        </w:rPr>
        <w:t>Alberni Residential School</w:t>
      </w:r>
      <w:r>
        <w:t xml:space="preserve"> … “ [50] “… where I spent twelve years …” / @Law “Nuu-chah-nulth teachings translated into a most remarkable decision-making behaviour … (1) each person has the right to a say; (2) each person has the right to be heard, and; (3) each person has the right to be understood.” / 46 </w:t>
      </w:r>
      <w:proofErr w:type="spellStart"/>
      <w:r>
        <w:t>Umeek</w:t>
      </w:r>
      <w:proofErr w:type="spellEnd"/>
      <w:r>
        <w:t xml:space="preserve"> describes a true consensus model of decision. / 50 “… common teaching concerning resources. … “Never take more than you need!” / </w:t>
      </w:r>
      <w:r>
        <w:rPr>
          <w:b/>
        </w:rPr>
        <w:t xml:space="preserve">86 @ISr </w:t>
      </w:r>
      <w:r>
        <w:t xml:space="preserve">on “recognition,” and “Nuu-chah-nulth understood as associated with the need to take </w:t>
      </w:r>
      <w:r>
        <w:rPr>
          <w:i/>
        </w:rPr>
        <w:t xml:space="preserve">action </w:t>
      </w:r>
      <w:r>
        <w:t xml:space="preserve">in order to realize </w:t>
      </w:r>
      <w:r>
        <w:rPr>
          <w:i/>
        </w:rPr>
        <w:t>intent</w:t>
      </w:r>
      <w:r>
        <w:t xml:space="preserve">,” and “1777, </w:t>
      </w:r>
      <w:r>
        <w:rPr>
          <w:highlight w:val="magenta"/>
        </w:rPr>
        <w:t>Captain Cook</w:t>
      </w:r>
      <w:r>
        <w:t xml:space="preserve">,” and “In this historic </w:t>
      </w:r>
      <w:proofErr w:type="spellStart"/>
      <w:r>
        <w:rPr>
          <w:i/>
        </w:rPr>
        <w:t>ḥamutsup</w:t>
      </w:r>
      <w:proofErr w:type="spellEnd"/>
      <w:r>
        <w:rPr>
          <w:i/>
        </w:rPr>
        <w:t xml:space="preserve"> </w:t>
      </w:r>
      <w:r>
        <w:t xml:space="preserve">the bird down clearly symbolized peaceful intent. Although Section 35(1) of Canada’s Constitution…” / 86 @SettPsyche ““Let’s just get past all this!” It was </w:t>
      </w:r>
      <w:r>
        <w:rPr>
          <w:highlight w:val="magenta"/>
        </w:rPr>
        <w:t>Prime Minister Trudeau</w:t>
      </w:r>
      <w:r>
        <w:t xml:space="preserve"> who, in 1969, uttered the same kind of sentiments with respect to Aboriginal rights in Canada: “We can’t recognize aboriginal rights because no society can be built on historical ‘might have beens.’”</w:t>
      </w:r>
      <w:r>
        <w:rPr>
          <w:vertAlign w:val="superscript"/>
        </w:rPr>
        <w:t>8</w:t>
      </w:r>
      <w:r>
        <w:t xml:space="preserve"> … The White Paper / 106 Sir John A. Macdonald on the </w:t>
      </w:r>
      <w:r>
        <w:rPr>
          <w:b/>
        </w:rPr>
        <w:t>potlatch</w:t>
      </w:r>
      <w:r>
        <w:t>: “… This Indian festival is a debauchery of the worst kind, and the departmental officers and all the clergymen unite in affirming that it is absolutely necessary to put this practise down.”</w:t>
      </w:r>
      <w:r>
        <w:rPr>
          <w:vertAlign w:val="superscript"/>
        </w:rPr>
        <w:t>10</w:t>
      </w:r>
      <w:r>
        <w:t xml:space="preserve"> /  107 @CogImp@Technoc “The </w:t>
      </w:r>
      <w:r>
        <w:rPr>
          <w:b/>
        </w:rPr>
        <w:t>greater technological powers of the colonizers</w:t>
      </w:r>
      <w:r>
        <w:t xml:space="preserve"> served to humiliate the lesser powers of Aboriginal chiefs.” / 109 @Irony@Law </w:t>
      </w:r>
      <w:r>
        <w:rPr>
          <w:b/>
        </w:rPr>
        <w:t>Erosion of Indigenous law</w:t>
      </w:r>
      <w:r>
        <w:t xml:space="preserve">: “If one has always enjoyed the rule of law, it may not be possible to imagine the horror of its absence.” / 124 1997 by Chief Justice H.E. Hutcheon in the Supreme Court of Canada in the </w:t>
      </w:r>
      <w:r>
        <w:rPr>
          <w:b/>
          <w:i/>
        </w:rPr>
        <w:t>Delgamuukw</w:t>
      </w:r>
      <w:r>
        <w:rPr>
          <w:i/>
        </w:rPr>
        <w:t xml:space="preserve"> </w:t>
      </w:r>
      <w:r>
        <w:t>case: ““Let us face it, we are all here to stay” is one way to express the constitutional principle of continuity.” / 53 Chart on “</w:t>
      </w:r>
      <w:r>
        <w:rPr>
          <w:b/>
        </w:rPr>
        <w:t>COMPARISON OF SCIENTIFIC AND INDIGENOUS KNOWLEDGE SYSTEMS</w:t>
      </w:r>
      <w:r>
        <w:t xml:space="preserve">” / 141 </w:t>
      </w:r>
      <w:r>
        <w:rPr>
          <w:b/>
        </w:rPr>
        <w:t>“Story as Theory” section starts</w:t>
      </w:r>
      <w:r>
        <w:t xml:space="preserve">. / @L? On resource management: “Resources that are in juxtaposition with different communities are in a natural state, and this is the way in which creation is presented. How these different communities respond to this juxtaposition of resources is a matter of choice. … </w:t>
      </w:r>
      <w:r>
        <w:rPr>
          <w:b/>
        </w:rPr>
        <w:t>Life forms have freedom of choice</w:t>
      </w:r>
      <w:r>
        <w:t xml:space="preserve">.”  / 143-44 @IK@Ontol The principal origin story for </w:t>
      </w:r>
      <w:proofErr w:type="spellStart"/>
      <w:r>
        <w:rPr>
          <w:i/>
        </w:rPr>
        <w:t>haḥuułism</w:t>
      </w:r>
      <w:proofErr w:type="spellEnd"/>
      <w:r>
        <w:rPr>
          <w:i/>
        </w:rPr>
        <w:t xml:space="preserve"> </w:t>
      </w:r>
      <w:r>
        <w:t xml:space="preserve">is Son of Raven and his community. … </w:t>
      </w:r>
      <w:r>
        <w:rPr>
          <w:b/>
        </w:rPr>
        <w:t>the primary characteristics of creation</w:t>
      </w:r>
      <w:r>
        <w:t xml:space="preserve">,” followed by a list, which includes “… Polarity is inherent and purposeful … 6 </w:t>
      </w:r>
      <w:r>
        <w:rPr>
          <w:b/>
        </w:rPr>
        <w:t>Identity is like an insignificant leaf.”</w:t>
      </w:r>
      <w:r>
        <w:t xml:space="preserve">  / 147 @Orality@IK@IndHist “At the same time, it would not be true to say that ancient Nuu-chah-nulth did not keep records. They did keep records – </w:t>
      </w:r>
      <w:r>
        <w:rPr>
          <w:b/>
        </w:rPr>
        <w:t>records that were allegorical, representative, and symbolic</w:t>
      </w:r>
      <w:r>
        <w:t xml:space="preserve">. These records are the </w:t>
      </w:r>
      <w:r>
        <w:rPr>
          <w:b/>
        </w:rPr>
        <w:t>stories, songs, dances, regalia, house posts, masks, headdresses, and so</w:t>
      </w:r>
      <w:r>
        <w:t xml:space="preserve"> on that were instrumental in demonstrating powers that energized entire peoples along the Northwest Coast of British Columbia.” / 148 @Law@ISr March 1778, </w:t>
      </w:r>
      <w:r>
        <w:rPr>
          <w:highlight w:val="magenta"/>
        </w:rPr>
        <w:t>Captain Cook</w:t>
      </w:r>
      <w:r>
        <w:t xml:space="preserve"> wrote in his journal of his encounter with the Nootka Indians that “they generally went through a singular ceremony.”</w:t>
      </w:r>
      <w:r>
        <w:rPr>
          <w:vertAlign w:val="superscript"/>
        </w:rPr>
        <w:t xml:space="preserve">9 </w:t>
      </w:r>
      <w:r>
        <w:t xml:space="preserve">What is described in Cook’s journal is a typical (to Nuu-chah-nulth) sacred ceremony – one that continues to be practised today.” </w:t>
      </w:r>
      <w:proofErr w:type="spellStart"/>
      <w:r>
        <w:t>Umeek</w:t>
      </w:r>
      <w:proofErr w:type="spellEnd"/>
      <w:r>
        <w:t xml:space="preserve"> then goes on to reframe the ceremony accurately, as “</w:t>
      </w:r>
      <w:r>
        <w:rPr>
          <w:b/>
        </w:rPr>
        <w:t>these encounter-ceremonies were not haphazard events but symbolic articles of an ancient form of constitutionalism</w:t>
      </w:r>
      <w:r>
        <w:t xml:space="preserve">.” / 152 @IK@Ontol “The Nuu-chah-nulth teach that, if people don’t ask for help when they need it, they are not kind. Asking for help when one needs help is to affirm the unity of creation; not asking for help when one needs help is contrary to wholeness. However, whenever a way of life </w:t>
      </w:r>
      <w:r>
        <w:lastRenderedPageBreak/>
        <w:t>is articulated by the</w:t>
      </w:r>
      <w:r>
        <w:rPr>
          <w:b/>
        </w:rPr>
        <w:t xml:space="preserve"> constitutional principles of recognition</w:t>
      </w:r>
      <w:r>
        <w:t>, consent, respect, and continuity, this teaching applies not only to human beings but also to all life forms (as is argued in Chapters 4, 5, and 6).”</w:t>
      </w:r>
    </w:p>
    <w:p w14:paraId="3E9CF8B8" w14:textId="77777777" w:rsidR="00076776" w:rsidRDefault="00076776"/>
    <w:p w14:paraId="26FE7DB7" w14:textId="77777777" w:rsidR="00076776" w:rsidRDefault="00000000">
      <w:pPr>
        <w:pStyle w:val="Heading2"/>
      </w:pPr>
      <w:r>
        <w:t>Notes</w:t>
      </w:r>
    </w:p>
    <w:p w14:paraId="0C29AB47" w14:textId="77777777" w:rsidR="00076776" w:rsidRDefault="00000000">
      <w:r>
        <w:t xml:space="preserve">@Note: cut this reading short, for time’s sake. Might need to come back to this and search terms specific to landscape and place. </w:t>
      </w:r>
    </w:p>
    <w:p w14:paraId="359C7572" w14:textId="77777777" w:rsidR="00076776" w:rsidRDefault="00076776"/>
    <w:p w14:paraId="4E526829" w14:textId="77777777" w:rsidR="00076776" w:rsidRDefault="00000000">
      <w:r>
        <w:t>Re: 69 @Para@ISr@CogImp</w:t>
      </w:r>
    </w:p>
    <w:p w14:paraId="4A72CD41" w14:textId="77777777" w:rsidR="00076776" w:rsidRDefault="00000000">
      <w:pPr>
        <w:ind w:left="720"/>
      </w:pPr>
      <w:r>
        <w:t xml:space="preserve">It must give one pause to </w:t>
      </w:r>
      <w:r>
        <w:rPr>
          <w:b/>
        </w:rPr>
        <w:t>consider the credulity of European beliefs about Aboriginal peoples.</w:t>
      </w:r>
      <w:r>
        <w:t xml:space="preserve"> On the one hand, there is the belief that the indigenous peoples of an entire continent were constantly at war with one another (as Vespucci, Daniel Defoe, and others indicated), exercised the utmost cruelty, ate one another, and generally lived without laws and morals (all the while somehow maintaining their population bases). On the other </w:t>
      </w:r>
      <w:proofErr w:type="gramStart"/>
      <w:r>
        <w:t>hand</w:t>
      </w:r>
      <w:proofErr w:type="gramEnd"/>
      <w:r>
        <w:t xml:space="preserve"> there is the belief that indigenous peoples lived some kind of utopian existence.</w:t>
      </w:r>
    </w:p>
    <w:p w14:paraId="313900B8" w14:textId="77777777" w:rsidR="00076776" w:rsidRDefault="00076776"/>
    <w:p w14:paraId="72DD5EF8" w14:textId="77777777" w:rsidR="00076776" w:rsidRDefault="00000000">
      <w:r>
        <w:t xml:space="preserve">@K? Is this more proof for my idea that the concept of “indigenous” is a deferred construct of the settler-psyche’s animus. In other words, settler </w:t>
      </w:r>
      <w:r>
        <w:rPr>
          <w:i/>
        </w:rPr>
        <w:t>ideas</w:t>
      </w:r>
      <w:r>
        <w:t xml:space="preserve"> of Indigenous Peoples, past and present, is tangled up with a sublimated fear of settler violence and tendency for self-destruction and hierarchical prisons, politically and administratively. The “Native” </w:t>
      </w:r>
      <w:proofErr w:type="gramStart"/>
      <w:r>
        <w:t>has to</w:t>
      </w:r>
      <w:proofErr w:type="gramEnd"/>
      <w:r>
        <w:t xml:space="preserve"> appear free of society’s constraints, in the “wild” state, but in so doing becomes a foil for the self-enforced restrictions of the settler state, and therefore a target of rage, resentment, and denial. Hence, Vespucci’s “gross exaggerations” that “They are so inhuman that they outdo every custom [even] of beasts: for they eat all their enemies whom they kill or capture, as well females as males, with so much savagery….” So, of course “Vespucci’s descriptions of Aboriginal life contributed to this misunderstanding because they offered no interpretations from an indigenous perspective” (74)—in order to propagate the subconscious status-quo, settlers and settler institutions would do everything in their power, consciously and not, to prevent Indigenous self-expression, as this would immediately threaten the settler psyche, with a non-projected voice, a dialectic, as opposed to didactic conceptual space; Indigenous perspectives threaten settler ontologies </w:t>
      </w:r>
      <w:r>
        <w:rPr>
          <w:i/>
        </w:rPr>
        <w:t>precisely because</w:t>
      </w:r>
      <w:r>
        <w:t xml:space="preserve"> they reveal complex agencies that undermine the maintenance of the settler animus. See also, “Carl Jung: “The Latin words animus…” (90). </w:t>
      </w:r>
    </w:p>
    <w:p w14:paraId="31913EEA" w14:textId="77777777" w:rsidR="00076776" w:rsidRDefault="00076776"/>
    <w:p w14:paraId="2C27635C" w14:textId="77777777" w:rsidR="00076776" w:rsidRDefault="00000000">
      <w:r>
        <w:t>141-42 @Arg@Sci@Ontol@CogImp</w:t>
      </w:r>
    </w:p>
    <w:p w14:paraId="7E1B9DC7" w14:textId="77777777" w:rsidR="00076776" w:rsidRDefault="00000000">
      <w:pPr>
        <w:ind w:left="720"/>
      </w:pPr>
      <w:r>
        <w:t xml:space="preserve">Nevertheless, origin stories are </w:t>
      </w:r>
      <w:proofErr w:type="gramStart"/>
      <w:r>
        <w:t>similar to</w:t>
      </w:r>
      <w:proofErr w:type="gramEnd"/>
      <w:r>
        <w:t xml:space="preserve"> theory in that each one is testable by its own method, just as scientific theory is testable by its own methods. … The difference in outcome is that scientific data are usually confined to the empirical domain whereas </w:t>
      </w:r>
      <w:proofErr w:type="spellStart"/>
      <w:r>
        <w:t>ʔ</w:t>
      </w:r>
      <w:r>
        <w:rPr>
          <w:i/>
        </w:rPr>
        <w:t>uusumc</w:t>
      </w:r>
      <w:proofErr w:type="spellEnd"/>
      <w:r>
        <w:rPr>
          <w:i/>
        </w:rPr>
        <w:t xml:space="preserve">̌ </w:t>
      </w:r>
      <w:r>
        <w:t xml:space="preserve">data are not. … When an origin story has proven </w:t>
      </w:r>
      <w:r>
        <w:rPr>
          <w:b/>
        </w:rPr>
        <w:t>valid as a guide to living</w:t>
      </w:r>
      <w:r>
        <w:t>, then it becomes an allegory, a dimension of truth.</w:t>
      </w:r>
    </w:p>
    <w:p w14:paraId="0480E7F0" w14:textId="77777777" w:rsidR="00076776" w:rsidRDefault="00076776"/>
    <w:p w14:paraId="604E936A" w14:textId="77777777" w:rsidR="00076776" w:rsidRDefault="00000000">
      <w:r>
        <w:t xml:space="preserve">@K? Are we faced with the underlying assumption that what Western science considers as “objective facts,” are also stories? Further, when an origin story has “has proven valid as a guide to living,” this must be predicated on shared assumptions of a life well lived, and that this same well-lived life acts as a </w:t>
      </w:r>
      <w:r>
        <w:rPr>
          <w:i/>
        </w:rPr>
        <w:t>constant</w:t>
      </w:r>
      <w:r>
        <w:t xml:space="preserve">, as opposed to a variable, in this ontological paradigm. This sense of the constancy of a good life makes sense in the way </w:t>
      </w:r>
      <w:proofErr w:type="spellStart"/>
      <w:r>
        <w:t>Umeek</w:t>
      </w:r>
      <w:proofErr w:type="spellEnd"/>
      <w:r>
        <w:t xml:space="preserve"> relates it: a life in balance </w:t>
      </w:r>
      <w:r>
        <w:lastRenderedPageBreak/>
        <w:t xml:space="preserve">need not be “disrupted;” rather, the work is in the collective maintenance of such a life, not in individualistic “striving,” which I see as, essentially, anti- or </w:t>
      </w:r>
      <w:proofErr w:type="gramStart"/>
      <w:r>
        <w:t>counter-</w:t>
      </w:r>
      <w:r>
        <w:rPr>
          <w:i/>
        </w:rPr>
        <w:t>relational</w:t>
      </w:r>
      <w:proofErr w:type="gramEnd"/>
      <w:r>
        <w:t xml:space="preserve">. </w:t>
      </w:r>
    </w:p>
    <w:p w14:paraId="417A304F" w14:textId="77777777" w:rsidR="00076776" w:rsidRDefault="00076776"/>
    <w:p w14:paraId="079C28A2" w14:textId="77777777" w:rsidR="00076776" w:rsidRDefault="00000000">
      <w:pPr>
        <w:pStyle w:val="Heading1"/>
      </w:pPr>
      <w:bookmarkStart w:id="8" w:name="_heading=h.1t3h5sf" w:colFirst="0" w:colLast="0"/>
      <w:bookmarkEnd w:id="8"/>
      <w:r>
        <w:t>(2010) Christen, “Does information really want to be free? Indigenous knowledge systems and the question of openness”</w:t>
      </w:r>
    </w:p>
    <w:p w14:paraId="0CCF91D7" w14:textId="77777777" w:rsidR="00076776" w:rsidRDefault="00076776"/>
    <w:p w14:paraId="121AA76C" w14:textId="77777777" w:rsidR="00076776" w:rsidRDefault="00000000">
      <w:pPr>
        <w:pStyle w:val="Heading2"/>
      </w:pPr>
      <w:r>
        <w:t>Abstract</w:t>
      </w:r>
    </w:p>
    <w:p w14:paraId="23958432" w14:textId="77777777" w:rsidR="00076776" w:rsidRDefault="00000000">
      <w:r>
        <w:t xml:space="preserve">An academically supported case for the need for </w:t>
      </w:r>
      <w:proofErr w:type="spellStart"/>
      <w:r>
        <w:t>Mukurtu</w:t>
      </w:r>
      <w:proofErr w:type="spellEnd"/>
      <w:r>
        <w:t xml:space="preserve"> to exist in the current digital technocracy. </w:t>
      </w:r>
    </w:p>
    <w:p w14:paraId="39FD4137" w14:textId="77777777" w:rsidR="00076776" w:rsidRDefault="00076776"/>
    <w:p w14:paraId="43BBA6A8" w14:textId="77777777" w:rsidR="00076776" w:rsidRDefault="00000000">
      <w:pPr>
        <w:pStyle w:val="Heading2"/>
      </w:pPr>
      <w:r>
        <w:t>Key words</w:t>
      </w:r>
    </w:p>
    <w:p w14:paraId="10F56668" w14:textId="77777777" w:rsidR="00076776" w:rsidRDefault="00000000">
      <w:r>
        <w:t xml:space="preserve">digital rights management (DRM) open-access, DH, racism, cultural protocols, </w:t>
      </w:r>
    </w:p>
    <w:p w14:paraId="3166626C" w14:textId="77777777" w:rsidR="00076776" w:rsidRDefault="00076776"/>
    <w:p w14:paraId="3FDA9D61" w14:textId="77777777" w:rsidR="00076776" w:rsidRDefault="00000000">
      <w:pPr>
        <w:pStyle w:val="Heading2"/>
      </w:pPr>
      <w:r>
        <w:t>Essential quote</w:t>
      </w:r>
    </w:p>
    <w:p w14:paraId="40D46B67" w14:textId="77777777" w:rsidR="00076776" w:rsidRDefault="00000000">
      <w:r>
        <w:t>6: The celebration of openness, something that began as a reaction to corporate greed and the legal straight jacketing of creative works, has resulted in a limited vocabulary with which to discuss the ethical and cultural parameters of information circulation and access in the digital realm.</w:t>
      </w:r>
    </w:p>
    <w:p w14:paraId="30292E1A" w14:textId="77777777" w:rsidR="00076776" w:rsidRDefault="00076776"/>
    <w:p w14:paraId="36DA7390" w14:textId="77777777" w:rsidR="00076776" w:rsidRDefault="00000000">
      <w:pPr>
        <w:pStyle w:val="Heading2"/>
      </w:pPr>
      <w:r>
        <w:t>Terms</w:t>
      </w:r>
    </w:p>
    <w:p w14:paraId="7590262A" w14:textId="77777777" w:rsidR="00076776" w:rsidRDefault="00000000">
      <w:r>
        <w:t xml:space="preserve">2 </w:t>
      </w:r>
      <w:r>
        <w:rPr>
          <w:b/>
        </w:rPr>
        <w:t>Information wants to be free</w:t>
      </w:r>
      <w:r>
        <w:t xml:space="preserve">: … meme was born some 20 years ago from the free and </w:t>
      </w:r>
      <w:proofErr w:type="gramStart"/>
      <w:r>
        <w:t>open source</w:t>
      </w:r>
      <w:proofErr w:type="gramEnd"/>
      <w:r>
        <w:t xml:space="preserve"> software development community. In the ensuing decades, information freedom has merged with debates over open access, digital rights management, and intellectual property rights. More recently, as digital heritage has become a common resource, scholars, activists, technologists, and local source communities have generated critiques about the extent of information freedom.</w:t>
      </w:r>
    </w:p>
    <w:p w14:paraId="361504B5" w14:textId="77777777" w:rsidR="00076776" w:rsidRDefault="00000000">
      <w:r>
        <w:t xml:space="preserve">5: </w:t>
      </w:r>
      <w:r>
        <w:rPr>
          <w:b/>
        </w:rPr>
        <w:t>culture industry</w:t>
      </w:r>
      <w:r>
        <w:t xml:space="preserve">: “… music, books, movies, video games, and other software--around corporate solutions to murky legal issues. … the general fascination with technology and its associated progressive narratives that blind us to the reach of technology and its unintended consequences.” This builds on Tarleton Gillespie’s quote: </w:t>
      </w:r>
    </w:p>
    <w:p w14:paraId="5F62595C" w14:textId="77777777" w:rsidR="00076776" w:rsidRDefault="00000000">
      <w:pPr>
        <w:ind w:left="720"/>
      </w:pPr>
      <w:r>
        <w:t>What we might call “social engineering” has come full circle back to actual engineering, where the tools and the environment are built to assure the right practices are facilitated, the wrong are inhibited. These technologies are largely being developed and deployed below our cultural radar, enamored as we are with the thrill of the “information revolution,” the faith in progress, and the freedom of individual agency. (2007, p. 6)</w:t>
      </w:r>
    </w:p>
    <w:p w14:paraId="5B0B14CF" w14:textId="77777777" w:rsidR="00076776" w:rsidRDefault="00000000">
      <w:r>
        <w:t xml:space="preserve">5: [@DECOL] </w:t>
      </w:r>
      <w:proofErr w:type="spellStart"/>
      <w:r>
        <w:rPr>
          <w:b/>
        </w:rPr>
        <w:t>Mukurtu</w:t>
      </w:r>
      <w:proofErr w:type="spellEnd"/>
      <w:r>
        <w:rPr>
          <w:b/>
        </w:rPr>
        <w:t xml:space="preserve"> CMS</w:t>
      </w:r>
      <w:r>
        <w:t xml:space="preserve">: “… a free and </w:t>
      </w:r>
      <w:proofErr w:type="gramStart"/>
      <w:r>
        <w:t>open source</w:t>
      </w:r>
      <w:proofErr w:type="gramEnd"/>
      <w:r>
        <w:t xml:space="preserve"> digital archive and content management tool aimed at the specific needs of indigenous peoples globally. Whereas the </w:t>
      </w:r>
      <w:proofErr w:type="spellStart"/>
      <w:r>
        <w:t>Mukurtu</w:t>
      </w:r>
      <w:proofErr w:type="spellEnd"/>
      <w:r>
        <w:t xml:space="preserve"> </w:t>
      </w:r>
      <w:proofErr w:type="spellStart"/>
      <w:r>
        <w:t>Wumpurrarnikari</w:t>
      </w:r>
      <w:proofErr w:type="spellEnd"/>
      <w:r>
        <w:t xml:space="preserve"> archive was a stand-alone archive, </w:t>
      </w:r>
      <w:proofErr w:type="spellStart"/>
      <w:r>
        <w:t>Mukurtu</w:t>
      </w:r>
      <w:proofErr w:type="spellEnd"/>
      <w:r>
        <w:t xml:space="preserve"> CMS is a tool that can be adapted to the local cultural protocols and dynamic intellectual property needs of any indigenous community. (7)” [15] “</w:t>
      </w:r>
      <w:proofErr w:type="spellStart"/>
      <w:r>
        <w:t>Mukurtu</w:t>
      </w:r>
      <w:proofErr w:type="spellEnd"/>
      <w:r>
        <w:t xml:space="preserve"> CMS began as a grassroots effort to address specific cultural, </w:t>
      </w:r>
      <w:r>
        <w:lastRenderedPageBreak/>
        <w:t xml:space="preserve">social, and technological needs, and it continues as a community-driven platform.” [16] “Key to our success in producing just such a tool was our decision early on to build </w:t>
      </w:r>
      <w:proofErr w:type="spellStart"/>
      <w:r>
        <w:t>Mukurtu</w:t>
      </w:r>
      <w:proofErr w:type="spellEnd"/>
      <w:r>
        <w:t xml:space="preserve"> on top of the free and </w:t>
      </w:r>
      <w:proofErr w:type="gramStart"/>
      <w:r>
        <w:t>open source</w:t>
      </w:r>
      <w:proofErr w:type="gramEnd"/>
      <w:r>
        <w:t xml:space="preserve"> </w:t>
      </w:r>
      <w:r>
        <w:rPr>
          <w:b/>
        </w:rPr>
        <w:t>Drupal 7 content management platform</w:t>
      </w:r>
      <w:r>
        <w:t xml:space="preserve">. (10) </w:t>
      </w:r>
      <w:proofErr w:type="spellStart"/>
      <w:r>
        <w:t>Mukurtu</w:t>
      </w:r>
      <w:proofErr w:type="spellEnd"/>
      <w:r>
        <w:t xml:space="preserve"> CMS can be thought of as a system with </w:t>
      </w:r>
      <w:r>
        <w:rPr>
          <w:b/>
        </w:rPr>
        <w:t>three layers: Drupal 7</w:t>
      </w:r>
      <w:r>
        <w:t xml:space="preserve"> is the bottom layer providing the scaffolding; in the middle, there is </w:t>
      </w:r>
      <w:proofErr w:type="spellStart"/>
      <w:r>
        <w:rPr>
          <w:b/>
        </w:rPr>
        <w:t>Mukurtu</w:t>
      </w:r>
      <w:proofErr w:type="spellEnd"/>
      <w:r>
        <w:rPr>
          <w:b/>
        </w:rPr>
        <w:t xml:space="preserve"> CMS</w:t>
      </w:r>
      <w:r>
        <w:t xml:space="preserve"> providing the protocol-driven, sociocultural access levels; and on top, there is the </w:t>
      </w:r>
      <w:r>
        <w:rPr>
          <w:b/>
        </w:rPr>
        <w:t>specific community’s content</w:t>
      </w:r>
      <w:r>
        <w:t xml:space="preserve">.” … “an open source, free, standards-based community archive and content management system aimed at the specific needs of indigenous peoples globally (http://www.mukurtu.org). </w:t>
      </w:r>
      <w:proofErr w:type="spellStart"/>
      <w:r>
        <w:t>Mukurtu</w:t>
      </w:r>
      <w:proofErr w:type="spellEnd"/>
      <w:r>
        <w:t xml:space="preserve"> translates directly to “dilly bag” in the Warumungu language. However, the Warumungu elders I worked with in Tennant Creek redefined the term as a “safe keeping place.” [17] “The crux of </w:t>
      </w:r>
      <w:proofErr w:type="spellStart"/>
      <w:r>
        <w:t>Mukurtu</w:t>
      </w:r>
      <w:proofErr w:type="spellEnd"/>
      <w:r>
        <w:t xml:space="preserve"> CMS is its </w:t>
      </w:r>
      <w:r>
        <w:rPr>
          <w:b/>
        </w:rPr>
        <w:t>emphasis on cultural protocols</w:t>
      </w:r>
      <w:r>
        <w:t>, both at a core level of its architecture and in all areas of its functionality.” [20] “</w:t>
      </w:r>
      <w:proofErr w:type="spellStart"/>
      <w:r>
        <w:t>Mukurtu</w:t>
      </w:r>
      <w:proofErr w:type="spellEnd"/>
      <w:r>
        <w:t xml:space="preserve"> CMS is not a DRM system in any sense. Contrary to the remarks on Slashdot that I quoted at the start of this article, the software neither locks anything up, nor closes anyone out.”</w:t>
      </w:r>
    </w:p>
    <w:p w14:paraId="532A22BD" w14:textId="77777777" w:rsidR="00076776" w:rsidRDefault="00000000">
      <w:r>
        <w:t xml:space="preserve">7: </w:t>
      </w:r>
      <w:r>
        <w:rPr>
          <w:b/>
        </w:rPr>
        <w:t>social freedom</w:t>
      </w:r>
      <w:r>
        <w:t xml:space="preserve"> (of information): “… information freedom as social freedom. …” From Stallman quote: “When information is generally useful, redistributing it makes humanity wealthier…” “Stallman does not address--nor, perhaps, did his audience of software designers wonder--how one decides which information is generally useful, nor did he imagine the possibility that some information might, in fact, not be useful or beneficial in the hands of just anyone.”</w:t>
      </w:r>
    </w:p>
    <w:p w14:paraId="128388D3" w14:textId="77777777" w:rsidR="00076776" w:rsidRDefault="00000000">
      <w:r>
        <w:t xml:space="preserve">8: </w:t>
      </w:r>
      <w:r>
        <w:rPr>
          <w:b/>
        </w:rPr>
        <w:t>cultural commons</w:t>
      </w:r>
      <w:r>
        <w:t>: “… information’s assumed natural inclination toward freedom, Internet enthusiasts and intellectual property rights critics easily connected openness, the public domain, and the commons, creating a well-defined (and seemingly neutral) platform for information’s circulation routes-particularly digital information. The “cultural commons” was, thus, easily defined as “the vast store of unowned ideas, inventions, and works of art that we have inherited from the past and continue to enrich” (Hyde, 2010, p. 18).</w:t>
      </w:r>
    </w:p>
    <w:p w14:paraId="5B24CA29" w14:textId="77777777" w:rsidR="00076776" w:rsidRDefault="00000000">
      <w:pPr>
        <w:tabs>
          <w:tab w:val="left" w:pos="4107"/>
        </w:tabs>
      </w:pPr>
      <w:r>
        <w:t xml:space="preserve">9: </w:t>
      </w:r>
      <w:r>
        <w:rPr>
          <w:b/>
        </w:rPr>
        <w:t>digital utopianism</w:t>
      </w:r>
      <w:r>
        <w:t xml:space="preserve">: [@Techtopia] “In the 21st century, such bids for information freedom in the commons appear in tandem with the claim that digital technology and digital information have created a “revolution.” Overt claims of a “digital revolution” now appear in everything from marketing materials to the nightly news, to academic conferences. Digital utopianism slowed with the first </w:t>
      </w:r>
      <w:proofErr w:type="gramStart"/>
      <w:r>
        <w:t>dot-com</w:t>
      </w:r>
      <w:proofErr w:type="gramEnd"/>
      <w:r>
        <w:t xml:space="preserve"> bust, but it has seen a pronounced resurgence with the rise of social networking sites and the recent spate of political upheavals in the Arab world.” </w:t>
      </w:r>
    </w:p>
    <w:p w14:paraId="2D6C79FC" w14:textId="77777777" w:rsidR="00076776" w:rsidRDefault="00000000">
      <w:pPr>
        <w:tabs>
          <w:tab w:val="left" w:pos="4107"/>
        </w:tabs>
      </w:pPr>
      <w:r>
        <w:t xml:space="preserve">10-11: </w:t>
      </w:r>
      <w:r>
        <w:rPr>
          <w:b/>
        </w:rPr>
        <w:t>open access (OA)</w:t>
      </w:r>
      <w:r>
        <w:t xml:space="preserve">: Open access (OA) is not just an idea, but a movement. Open Access is a growing international movement that uses the Internet to throw open the locked doors that once hid knowledge. It encourages the unrestricted sharing of research results with everyone, everywhere, for the advancement and enjoyment of science and society. Open Access is the principle that all research should be freely accessible online, immediately after publication, and it’s gaining ever more momentum around the world as research funders and policy makers throw their weight behind it. (Scholar Works, n.d., para. 1) … the goal appears to be making information--partitioned off as research--free to everyone, everywhere, with the assumption that information freedom will be a social and political benefit in all cases. In fact, open access is routinely marshaled in support of new models for scholarly publishing, … and so on. </w:t>
      </w:r>
    </w:p>
    <w:p w14:paraId="35909263" w14:textId="77777777" w:rsidR="00076776" w:rsidRDefault="00000000">
      <w:pPr>
        <w:tabs>
          <w:tab w:val="left" w:pos="4107"/>
        </w:tabs>
      </w:pPr>
      <w:r>
        <w:t xml:space="preserve">18: </w:t>
      </w:r>
      <w:r>
        <w:rPr>
          <w:b/>
        </w:rPr>
        <w:t>user stories</w:t>
      </w:r>
      <w:r>
        <w:t xml:space="preserve">: In reference to the dev of </w:t>
      </w:r>
      <w:proofErr w:type="spellStart"/>
      <w:r>
        <w:t>Mukurtu</w:t>
      </w:r>
      <w:proofErr w:type="spellEnd"/>
      <w:r>
        <w:t>: “Using interviews, face-to-face meetings, and case studies, we produced a set of community-driven narratives defined as “</w:t>
      </w:r>
      <w:proofErr w:type="gramStart"/>
      <w:r>
        <w:t>users</w:t>
      </w:r>
      <w:proofErr w:type="gramEnd"/>
      <w:r>
        <w:t xml:space="preserve"> stories” that drove our development. (11)” </w:t>
      </w:r>
    </w:p>
    <w:p w14:paraId="064CB1A4" w14:textId="77777777" w:rsidR="00076776" w:rsidRDefault="00000000">
      <w:pPr>
        <w:tabs>
          <w:tab w:val="left" w:pos="4107"/>
        </w:tabs>
      </w:pPr>
      <w:r>
        <w:t xml:space="preserve">19: [@DECOL] </w:t>
      </w:r>
      <w:r>
        <w:rPr>
          <w:b/>
        </w:rPr>
        <w:t>traditional knowledge (TK):</w:t>
      </w:r>
      <w:r>
        <w:t xml:space="preserve"> in the licensing sense: “</w:t>
      </w:r>
      <w:proofErr w:type="spellStart"/>
      <w:r>
        <w:t>Mukurtu</w:t>
      </w:r>
      <w:proofErr w:type="spellEnd"/>
      <w:r>
        <w:t xml:space="preserve"> CMS takes an agnostic view toward licensing that accounts for the diverse legal and social needs of indigenous </w:t>
      </w:r>
      <w:r>
        <w:lastRenderedPageBreak/>
        <w:t>communities globally as they manage and share their digital cultural heritage and knowledge with third parties. For any piece of content or collection, one can choose between traditional copyright, Creative Commons licenses, and our own traditional knowledge (TK) licenses and labels for any materials to be shared externally. (12) … the TK label option takes the notion of fair use and extends it to illustrate culturally specific conditions of access and use for materials.”</w:t>
      </w:r>
    </w:p>
    <w:p w14:paraId="4747939B" w14:textId="77777777" w:rsidR="00076776" w:rsidRDefault="00076776">
      <w:pPr>
        <w:tabs>
          <w:tab w:val="left" w:pos="4107"/>
        </w:tabs>
      </w:pPr>
    </w:p>
    <w:p w14:paraId="1FF66F89" w14:textId="77777777" w:rsidR="00076776" w:rsidRDefault="00076776"/>
    <w:p w14:paraId="4C21A686" w14:textId="77777777" w:rsidR="00076776" w:rsidRDefault="00000000">
      <w:pPr>
        <w:pStyle w:val="Heading2"/>
      </w:pPr>
      <w:r>
        <w:t>Core quotes</w:t>
      </w:r>
    </w:p>
    <w:p w14:paraId="41FE2EA8" w14:textId="77777777" w:rsidR="00076776" w:rsidRDefault="00000000">
      <w:r>
        <w:t>5 @Resist@Decol@IndTech@TechDest</w:t>
      </w:r>
    </w:p>
    <w:p w14:paraId="4F50C3EA" w14:textId="77777777" w:rsidR="00076776" w:rsidRDefault="00000000">
      <w:pPr>
        <w:ind w:left="720"/>
      </w:pPr>
      <w:r>
        <w:t xml:space="preserve">However, </w:t>
      </w:r>
      <w:proofErr w:type="gramStart"/>
      <w:r>
        <w:t>off of</w:t>
      </w:r>
      <w:proofErr w:type="gramEnd"/>
      <w:r>
        <w:t xml:space="preserve"> Gillespie’s radar are the other uses for building “control” into systems for purposes that are not mired in greed, consumerism, and the circulation of commodities. Curation and circulation of indigenous digital cultural heritage materials are, in fact, activities that undo this neat alignment of control with the abuse of power. Highlighting these diverse and situational types of controls gives us another lens through which to view the notion of digital management of cultural materials and knowledge.</w:t>
      </w:r>
    </w:p>
    <w:p w14:paraId="6878BC86" w14:textId="77777777" w:rsidR="00076776" w:rsidRDefault="00076776"/>
    <w:p w14:paraId="7AE55CAF" w14:textId="77777777" w:rsidR="00076776" w:rsidRDefault="00000000">
      <w:pPr>
        <w:rPr>
          <w:highlight w:val="green"/>
        </w:rPr>
      </w:pPr>
      <w:r>
        <w:rPr>
          <w:highlight w:val="green"/>
        </w:rPr>
        <w:t>6 @OA@IndTech@Hegem@Techtopia@SocMed@Law@Dual@FB</w:t>
      </w:r>
    </w:p>
    <w:p w14:paraId="4C219704" w14:textId="77777777" w:rsidR="00076776" w:rsidRDefault="00000000">
      <w:pPr>
        <w:ind w:left="720"/>
      </w:pPr>
      <w:r>
        <w:t xml:space="preserve">The celebration of openness, something that began as a reaction to corporate greed and the legal straight jacketing of creative works, has resulted in a limited vocabulary with which to discuss the ethical and cultural parameters of information circulation and access in the digital realm. We are stuck thinking about open or closed, free or proprietary, public or private, and so on, even though in such common online experiences as using social media platforms Facebook and Twitter, or when reading through legal parameters for the use and reuse of digital information, these binaries rarely exist. These are not zero-sum games, and information sociality and creativity </w:t>
      </w:r>
      <w:proofErr w:type="gramStart"/>
      <w:r>
        <w:t>is</w:t>
      </w:r>
      <w:proofErr w:type="gramEnd"/>
      <w:r>
        <w:t xml:space="preserve"> more porous than these choices allow us to imagine. </w:t>
      </w:r>
    </w:p>
    <w:p w14:paraId="3FAB4E71" w14:textId="77777777" w:rsidR="00076776" w:rsidRDefault="00076776"/>
    <w:p w14:paraId="29ED24A9" w14:textId="77777777" w:rsidR="00076776" w:rsidRDefault="00000000">
      <w:r>
        <w:t>7 @Indigitization@IK@DECOL</w:t>
      </w:r>
    </w:p>
    <w:p w14:paraId="09A4388C" w14:textId="77777777" w:rsidR="00076776" w:rsidRDefault="00000000">
      <w:pPr>
        <w:ind w:left="720"/>
      </w:pPr>
      <w:r>
        <w:t>In many indigenous communities, cultural knowledge is conferred and transferred based on systems of obligation and reciprocity that, while they need not be romanticized as somehow more natural than their non-indigenous counterparts, should nonetheless be respected and merged into a pluralistic understanding of information’s circulation routes (Chander &amp; Sunder, 2004; Leach, 2005; Myers, 2005; Srinivasan, Boast, Becvar, &amp; Enote, 2010).</w:t>
      </w:r>
    </w:p>
    <w:p w14:paraId="7C19FB78" w14:textId="77777777" w:rsidR="00076776" w:rsidRDefault="00076776"/>
    <w:p w14:paraId="0BD115AB" w14:textId="77777777" w:rsidR="00076776" w:rsidRDefault="00000000">
      <w:r>
        <w:t>8 @CultBias@NeoLib@NeoCol@ManDest@Racism@Reason@SettState@SettPsych</w:t>
      </w:r>
    </w:p>
    <w:p w14:paraId="6F390A53" w14:textId="77777777" w:rsidR="00076776" w:rsidRDefault="00000000">
      <w:pPr>
        <w:ind w:left="720"/>
      </w:pPr>
      <w:r>
        <w:t>Conjuring a sense of information passed down through generations easily washes over other, more dubious ways that “we have inherited from the past,” making the process seem both natural and necessary without tainting it with colonial conquests or racist research agendas that pushed scientific exploration and collection practices.</w:t>
      </w:r>
    </w:p>
    <w:p w14:paraId="7A4DFDBF" w14:textId="77777777" w:rsidR="00076776" w:rsidRDefault="00076776"/>
    <w:p w14:paraId="1D0C824C" w14:textId="77777777" w:rsidR="00076776" w:rsidRDefault="00000000">
      <w:r>
        <w:rPr>
          <w:highlight w:val="green"/>
        </w:rPr>
        <w:t>K?</w:t>
      </w:r>
      <w:r>
        <w:t xml:space="preserve"> I like what C does, here, in connecting the “sense of information passed down through generations”—a synonym for narrative, surely—with a feeling of both inevitability and absolution: the perfect social opiate to avoid colonial reparations. C, again: </w:t>
      </w:r>
    </w:p>
    <w:p w14:paraId="03EF6578" w14:textId="77777777" w:rsidR="00076776" w:rsidRDefault="00000000">
      <w:pPr>
        <w:ind w:left="720"/>
      </w:pPr>
      <w:r>
        <w:lastRenderedPageBreak/>
        <w:t>Although the “information wants to be free” meme emerged from 25 years of digital celebration, it was also successfully linked back to the nation’s beginnings to weave a narrative of information freedom as a bedrock of national freedom.</w:t>
      </w:r>
    </w:p>
    <w:p w14:paraId="1214677E" w14:textId="77777777" w:rsidR="00076776" w:rsidRDefault="00076776"/>
    <w:p w14:paraId="33D2F769" w14:textId="77777777" w:rsidR="00076776" w:rsidRDefault="00000000">
      <w:r>
        <w:t>9 @Archive@NeoCol</w:t>
      </w:r>
    </w:p>
    <w:p w14:paraId="3F6A382F" w14:textId="77777777" w:rsidR="00076776" w:rsidRDefault="00000000">
      <w:pPr>
        <w:ind w:left="720"/>
      </w:pPr>
      <w:r>
        <w:t>… the vast store of materials in Western museums, archives, libraries, and personal collections that were not voluntarily given, and would not generally meet the standards of prior informed consent. … The colonial collecting history of Western nations is comfortably forgotten in the celebration of freedom and openness that would give “us” a storehouse of materials for the common good. In fact, the commons was never a place of inclusion, nor was it ever unregulated or uncontrolled. … The commons were not open; they were stinted” [Lewis Hyde quote] (2010, p. 34, emphasis mine). That is, commons have always been regulated and exclusive; they work precisely because they function within a system defined by many options for use. Commons were never free, nor did they promote an unregulated notion of freedom.</w:t>
      </w:r>
    </w:p>
    <w:p w14:paraId="68FA3006" w14:textId="77777777" w:rsidR="00076776" w:rsidRDefault="00076776">
      <w:pPr>
        <w:ind w:left="720"/>
      </w:pPr>
    </w:p>
    <w:p w14:paraId="611144EC" w14:textId="77777777" w:rsidR="00076776" w:rsidRDefault="00000000">
      <w:r>
        <w:t>10 @Ethics@Epistem@Poco@Polity@NeoCol</w:t>
      </w:r>
    </w:p>
    <w:p w14:paraId="6E8DFD67" w14:textId="77777777" w:rsidR="00076776" w:rsidRDefault="00000000">
      <w:pPr>
        <w:ind w:left="720"/>
      </w:pPr>
      <w:r>
        <w:t>The “information wants to be free” meme does a disservice to the task of understanding the ethics of information circulation, both within the digital realm and in a post-colonial world order where we cannot so neatly carve out the digital from the political and the historical.</w:t>
      </w:r>
    </w:p>
    <w:p w14:paraId="583F594B" w14:textId="77777777" w:rsidR="00076776" w:rsidRDefault="00076776"/>
    <w:p w14:paraId="11517C46" w14:textId="77777777" w:rsidR="00076776" w:rsidRDefault="00000000">
      <w:r>
        <w:t>11 @CultBias@Ontol@Techtopia@OA</w:t>
      </w:r>
    </w:p>
    <w:p w14:paraId="7E193DBA" w14:textId="77777777" w:rsidR="00076776" w:rsidRDefault="00000000">
      <w:pPr>
        <w:ind w:left="720"/>
      </w:pPr>
      <w:r>
        <w:t xml:space="preserve">The crowdedness under the banner of </w:t>
      </w:r>
      <w:r>
        <w:rPr>
          <w:b/>
        </w:rPr>
        <w:t>open access</w:t>
      </w:r>
      <w:r>
        <w:t xml:space="preserve"> should give us pause. It distracts from the specificity and historical context of various calls for, and definitions of, openness. In these vast calls, openness and unfettered access define the boundaries of information sharing; neither is questioned as a political stance or historical assumption. Instead, they are treated as de facto positive, beneficial aspects of knowledge circulation.</w:t>
      </w:r>
    </w:p>
    <w:p w14:paraId="29620088" w14:textId="77777777" w:rsidR="00076776" w:rsidRDefault="00076776"/>
    <w:p w14:paraId="2FBB33E7" w14:textId="77777777" w:rsidR="00076776" w:rsidRDefault="00000000">
      <w:r>
        <w:t>12 @TN@NeoCol@IndHist@Law@OA</w:t>
      </w:r>
    </w:p>
    <w:p w14:paraId="3BC2FE3C" w14:textId="77777777" w:rsidR="00076776" w:rsidRDefault="00000000">
      <w:pPr>
        <w:ind w:left="720"/>
      </w:pPr>
      <w:r>
        <w:t>In the United States, the rise of public domain talk is linked to Westward expansion and the displacement of indigenous peoples; the use of this discourse signals an erasure of the destructive effects of colonization and obscures its ideological underpinnings (Chander &amp; Sunder, 2004; Cohen, 2006; Sherman &amp; Wiseman, 2006). Lewis Hyde documents the conflicting invocations of the commons in early America:</w:t>
      </w:r>
    </w:p>
    <w:p w14:paraId="42A00B0E" w14:textId="77777777" w:rsidR="00076776" w:rsidRDefault="00000000">
      <w:pPr>
        <w:ind w:left="1440"/>
      </w:pPr>
      <w:r>
        <w:t xml:space="preserve">To solve the “Indian problem,” </w:t>
      </w:r>
      <w:r>
        <w:rPr>
          <w:b/>
        </w:rPr>
        <w:t>the Dawes Act</w:t>
      </w:r>
      <w:r>
        <w:t xml:space="preserve"> began the process of breaking up tribal holdings and giving individual Indians deeds to private plots of land... Thus did the founders’ vision of a nation of small freehold farms settle, a century later, over the Indian lands, a civilizing enclosure of a </w:t>
      </w:r>
      <w:proofErr w:type="gramStart"/>
      <w:r>
        <w:t>once native commons</w:t>
      </w:r>
      <w:proofErr w:type="gramEnd"/>
      <w:r>
        <w:t>. (Hyde, 2010, p. 169)</w:t>
      </w:r>
    </w:p>
    <w:p w14:paraId="10D4E7F6" w14:textId="77777777" w:rsidR="00076776" w:rsidRDefault="00076776"/>
    <w:p w14:paraId="52D393F8" w14:textId="77777777" w:rsidR="00076776" w:rsidRDefault="00000000">
      <w:r>
        <w:rPr>
          <w:highlight w:val="green"/>
        </w:rPr>
        <w:t>13 @CultBias@ISr@NeoCol</w:t>
      </w:r>
      <w:r>
        <w:t>@DECOL</w:t>
      </w:r>
    </w:p>
    <w:p w14:paraId="19E07580" w14:textId="77777777" w:rsidR="00076776" w:rsidRDefault="00000000">
      <w:pPr>
        <w:ind w:left="720"/>
      </w:pPr>
      <w:r>
        <w:rPr>
          <w:highlight w:val="magenta"/>
        </w:rPr>
        <w:t>Anthony Seeger</w:t>
      </w:r>
      <w:r>
        <w:t xml:space="preserve"> puts the matter more bluntly: “</w:t>
      </w:r>
      <w:r>
        <w:rPr>
          <w:b/>
        </w:rPr>
        <w:t>We are faced with another case of cultural blindness</w:t>
      </w:r>
      <w:r>
        <w:t xml:space="preserve">” (2005, p. 83). For many indigenous communities in settler societies, the public domain and </w:t>
      </w:r>
      <w:proofErr w:type="gramStart"/>
      <w:r>
        <w:t xml:space="preserve">an </w:t>
      </w:r>
      <w:r>
        <w:rPr>
          <w:b/>
        </w:rPr>
        <w:t>information commons</w:t>
      </w:r>
      <w:proofErr w:type="gramEnd"/>
      <w:r>
        <w:rPr>
          <w:b/>
        </w:rPr>
        <w:t xml:space="preserve"> are just another colonial mash-up where their cultural materials and knowledge are “open” for the profit and benefit </w:t>
      </w:r>
      <w:r>
        <w:rPr>
          <w:b/>
        </w:rPr>
        <w:lastRenderedPageBreak/>
        <w:t xml:space="preserve">of </w:t>
      </w:r>
      <w:proofErr w:type="gramStart"/>
      <w:r>
        <w:rPr>
          <w:b/>
        </w:rPr>
        <w:t>others</w:t>
      </w:r>
      <w:r>
        <w:t>, but</w:t>
      </w:r>
      <w:proofErr w:type="gramEnd"/>
      <w:r>
        <w:t xml:space="preserve"> remain separated from the sociocultural systems in which they were and continue to be used, circulated, and made meaningful. … Samuelson reminds us that:</w:t>
      </w:r>
    </w:p>
    <w:p w14:paraId="53087243" w14:textId="77777777" w:rsidR="00076776" w:rsidRDefault="00076776">
      <w:pPr>
        <w:ind w:left="720"/>
      </w:pPr>
    </w:p>
    <w:p w14:paraId="0614481D" w14:textId="77777777" w:rsidR="00076776" w:rsidRDefault="00000000">
      <w:pPr>
        <w:ind w:left="1440"/>
      </w:pPr>
      <w:r>
        <w:t>Public domain concepts may have proliferated in recent years because “the public domain” does not really exist. It is a metaphor, a social-legal construct, that serves an instrumental purpose--to assist us in thinking of a complex issue, to organize our thoughts, to serve as a “short cut” to denote a mindset, a view, a perception about the legal status of different types of information and what can be done with this information. (2006a, p. 145)</w:t>
      </w:r>
    </w:p>
    <w:p w14:paraId="531F36DB" w14:textId="77777777" w:rsidR="00076776" w:rsidRDefault="00076776"/>
    <w:p w14:paraId="6F8863D8" w14:textId="77777777" w:rsidR="00076776" w:rsidRDefault="00000000">
      <w:r>
        <w:t>15 @Archive@IndHist@TechDev@IR</w:t>
      </w:r>
    </w:p>
    <w:p w14:paraId="5E6B5213" w14:textId="77777777" w:rsidR="00076776" w:rsidRDefault="00000000">
      <w:pPr>
        <w:ind w:left="720"/>
      </w:pPr>
      <w:r>
        <w:t xml:space="preserve">We soon recognized that indigenous communities across the globe share similar sets of archival, cultural heritage, and content management needs. </w:t>
      </w:r>
      <w:r>
        <w:rPr>
          <w:b/>
        </w:rPr>
        <w:t>The Squamish Nation</w:t>
      </w:r>
      <w:r>
        <w:t xml:space="preserve"> in Canada wanted an archive whose protocols could accommodate their intricate clan and family system…. </w:t>
      </w:r>
    </w:p>
    <w:p w14:paraId="56387F70" w14:textId="77777777" w:rsidR="00076776" w:rsidRDefault="00076776"/>
    <w:p w14:paraId="507DD20A" w14:textId="77777777" w:rsidR="00076776" w:rsidRDefault="00000000">
      <w:r>
        <w:t xml:space="preserve">@Techtopia@Internet@Stats@DECOL </w:t>
      </w:r>
    </w:p>
    <w:p w14:paraId="05EFA81F" w14:textId="77777777" w:rsidR="00076776" w:rsidRDefault="00000000">
      <w:pPr>
        <w:ind w:left="720"/>
      </w:pPr>
      <w:r>
        <w:t xml:space="preserve">Unlike the approaches underpinned by utopian narratives of total access that flow neatly from the “information wants to be free” meme, </w:t>
      </w:r>
      <w:r>
        <w:rPr>
          <w:b/>
        </w:rPr>
        <w:t>we recognized that large portions of the world not only don’t have access to the Internet or digital tools;</w:t>
      </w:r>
      <w:r>
        <w:t xml:space="preserve"> they also don’t have the skills to implement them if they do have access (Ginsburg, 2008).</w:t>
      </w:r>
    </w:p>
    <w:p w14:paraId="5611629C" w14:textId="77777777" w:rsidR="00076776" w:rsidRDefault="00076776"/>
    <w:p w14:paraId="7400E119" w14:textId="77777777" w:rsidR="00076776" w:rsidRDefault="00000000">
      <w:r>
        <w:t xml:space="preserve">@Knote: finally: an acknowledgement of the fiction of universal Internet access. </w:t>
      </w:r>
    </w:p>
    <w:p w14:paraId="60C86189" w14:textId="77777777" w:rsidR="00076776" w:rsidRDefault="00076776"/>
    <w:p w14:paraId="02529C5D" w14:textId="77777777" w:rsidR="00076776" w:rsidRDefault="00000000">
      <w:r>
        <w:t>20-21 @FB@TechDev@NeoCol@Ontol@Dual</w:t>
      </w:r>
    </w:p>
    <w:p w14:paraId="36455C39" w14:textId="77777777" w:rsidR="00076776" w:rsidRDefault="00000000">
      <w:r>
        <w:t xml:space="preserve">On moving beyond the false-binaries in tech-dev discussions: </w:t>
      </w:r>
    </w:p>
    <w:p w14:paraId="1DEFD8A5" w14:textId="77777777" w:rsidR="00076776" w:rsidRDefault="00000000">
      <w:pPr>
        <w:ind w:left="720"/>
      </w:pPr>
      <w:r>
        <w:t xml:space="preserve">While it is clear that Western intellectual property regimes are hostile to and dismissive of indigenous claims and worldviews, it is equally apparent that </w:t>
      </w:r>
      <w:r>
        <w:rPr>
          <w:b/>
        </w:rPr>
        <w:t xml:space="preserve">recent digital tools aimed at sharing and exchanging cultural information are also ill-equipped to deal with the diverse social structures, cultural protocols, and histories of exploitation and exclusion of indigenous peoples globally </w:t>
      </w:r>
      <w:r>
        <w:t xml:space="preserve">(Anderson, 2010; Carpenter, 2004; Coombe, 2009). In recent debates about digital technologies, access to the public domain, and privacy, </w:t>
      </w:r>
      <w:r>
        <w:rPr>
          <w:b/>
        </w:rPr>
        <w:t xml:space="preserve">there is a </w:t>
      </w:r>
      <w:r>
        <w:rPr>
          <w:b/>
          <w:highlight w:val="green"/>
        </w:rPr>
        <w:t>false choice</w:t>
      </w:r>
      <w:r>
        <w:rPr>
          <w:b/>
        </w:rPr>
        <w:t xml:space="preserve"> between content creation and passive use; between open systems that promote democratic participation and closed systems that encourage oppression; between human beings as autonomous authors or communities as homogenous creators.</w:t>
      </w:r>
      <w:r>
        <w:t xml:space="preserve"> What these arguments miss, when they move from a discussion of corporate attempts to control consumers to a consideration of smaller communities attempting to maintain, preserve, and protect cultural heritage materials, are the histories of exclusion and the present contexts of marginalization of indigenous peoples.</w:t>
      </w:r>
    </w:p>
    <w:p w14:paraId="1556E592" w14:textId="77777777" w:rsidR="00076776" w:rsidRDefault="00076776"/>
    <w:p w14:paraId="41B1CB49" w14:textId="77777777" w:rsidR="00076776" w:rsidRDefault="00000000">
      <w:pPr>
        <w:pStyle w:val="Heading2"/>
      </w:pPr>
      <w:r>
        <w:t>Secondary quotes</w:t>
      </w:r>
    </w:p>
    <w:p w14:paraId="5CD080AA" w14:textId="77777777" w:rsidR="00076776" w:rsidRDefault="00000000">
      <w:r>
        <w:t xml:space="preserve">4 As I sat listening to the show, the cultural anthropologist in me cringed at the “ancient” qualifier (how could a group of people living today be ancient?), and </w:t>
      </w:r>
      <w:r>
        <w:rPr>
          <w:b/>
        </w:rPr>
        <w:t>the digital humanist in me was less convinced by the invocation of DRM as a counterpoint to the cultural protocols built into the archive</w:t>
      </w:r>
      <w:r>
        <w:t xml:space="preserve">. / 6 @Thesis Good way of wording this: I explicitly interrogate </w:t>
      </w:r>
      <w:r>
        <w:lastRenderedPageBreak/>
        <w:t xml:space="preserve">entrenched notions of the public domain, appeals to openness, and the contours of information circulation in order to better understand the stakes of digital sociality as it is lived, imagined, and performed across cultures and within the messy spaces where different notions of collaboration, collection, and curation intersect. / 6-7 @FB … the first Hacker conference in 1984, Stewart Brand … Brand highlighted the seemingly natural give and take between two factionalized aspects of information. … </w:t>
      </w:r>
      <w:r>
        <w:rPr>
          <w:b/>
        </w:rPr>
        <w:t>One must decide: free or expensive?</w:t>
      </w:r>
      <w:r>
        <w:t xml:space="preserve"> / Richard Stallman tweaked this notion … “When information is generally useful, redistributing it makes humanity wealthier…” / cyber-</w:t>
      </w:r>
      <w:proofErr w:type="spellStart"/>
      <w:r>
        <w:t>utopist</w:t>
      </w:r>
      <w:proofErr w:type="spellEnd"/>
      <w:r>
        <w:t xml:space="preserve"> </w:t>
      </w:r>
      <w:r>
        <w:rPr>
          <w:highlight w:val="magenta"/>
        </w:rPr>
        <w:t>John Perry Barlow</w:t>
      </w:r>
      <w:r>
        <w:t xml:space="preserve"> was busy declaring the “independence of cyberspace…” (1994) / 8 Still, many </w:t>
      </w:r>
      <w:r>
        <w:rPr>
          <w:b/>
        </w:rPr>
        <w:t>indigenous people have limited access to their own cultural heritage</w:t>
      </w:r>
      <w:r>
        <w:t xml:space="preserve"> and may be excluded also from interpreting these objects even when publicly displayed. (Resta, Roy, De Montano, &amp; Christal, 2002, p. 1482). / 8 </w:t>
      </w:r>
      <w:r>
        <w:rPr>
          <w:highlight w:val="magenta"/>
        </w:rPr>
        <w:t>Thomas Jefferson</w:t>
      </w:r>
      <w:r>
        <w:t xml:space="preserve"> quote: “That </w:t>
      </w:r>
      <w:r>
        <w:rPr>
          <w:b/>
        </w:rPr>
        <w:t>ideas should freely spread from one to another over the globe, for the moral and mutual instruction of man</w:t>
      </w:r>
      <w:r>
        <w:t xml:space="preserve">, and improvement of his condition, seems to have been peculiarly and benevolently designed by nature, when she made them, like fire, expansible over all space, without lessening their density in any point, and like the air in which we breathe, move, and have our physical being, incapable of confinement or exclusive appropriation. (Boyle, 2002, p. 15)” / 10 @MechDopp@Technoc@Tehtopia@SocMed In the modern social-media landscape, “Revolution is not just what is happening on the ground; it is embedded in technology itself. These platforms and tools do not just provide logistical support for revolutionaries; in these celebratory narratives, social media are anthropomorphized and become agents themselves within the revolution. </w:t>
      </w:r>
      <w:r>
        <w:rPr>
          <w:b/>
        </w:rPr>
        <w:t>Human agency is muted, and technology becomes the revolutionary figure</w:t>
      </w:r>
      <w:r>
        <w:t xml:space="preserve">.” / 17 More on </w:t>
      </w:r>
      <w:proofErr w:type="spellStart"/>
      <w:r>
        <w:t>Mukurtu</w:t>
      </w:r>
      <w:proofErr w:type="spellEnd"/>
      <w:r>
        <w:t xml:space="preserve"> tech: “</w:t>
      </w:r>
      <w:r>
        <w:rPr>
          <w:b/>
        </w:rPr>
        <w:t xml:space="preserve">Five components of </w:t>
      </w:r>
      <w:proofErr w:type="spellStart"/>
      <w:r>
        <w:rPr>
          <w:b/>
        </w:rPr>
        <w:t>Mukurtu</w:t>
      </w:r>
      <w:proofErr w:type="spellEnd"/>
      <w:r>
        <w:rPr>
          <w:b/>
        </w:rPr>
        <w:t xml:space="preserve"> CMS set it apart </w:t>
      </w:r>
      <w:r>
        <w:t xml:space="preserve">from proprietary commercial-off-the-shelf and open source content management systems: 1) cultural protocols for content management, 2) granular level access parameters based on community protocols, 3) multiple and flexible licensing options, 4) extensive metadata fields to account for indigenous knowledge, and 5) built-in options for exchanging materials and metadata with other communities or institutions while maintaining community cultural protocols.” / 19 </w:t>
      </w:r>
      <w:proofErr w:type="spellStart"/>
      <w:r>
        <w:t>Mukurtu</w:t>
      </w:r>
      <w:proofErr w:type="spellEnd"/>
      <w:r>
        <w:t xml:space="preserve"> CMS takes an agnostic view toward </w:t>
      </w:r>
      <w:r>
        <w:rPr>
          <w:b/>
        </w:rPr>
        <w:t>licensing</w:t>
      </w:r>
      <w:r>
        <w:t xml:space="preserve"> … For any piece of content or collection, one can choose between traditional copyright, Creative Commons licenses, and our own </w:t>
      </w:r>
      <w:r>
        <w:rPr>
          <w:b/>
        </w:rPr>
        <w:t>traditional knowledge (TK)</w:t>
      </w:r>
      <w:r>
        <w:t xml:space="preserve"> licenses and labels for any materials to be shared externally. (12) / 14 C discusses the </w:t>
      </w:r>
      <w:r>
        <w:rPr>
          <w:b/>
        </w:rPr>
        <w:t>digital resurgence of IK</w:t>
      </w:r>
      <w:r>
        <w:t xml:space="preserve">: Indigenous peoples’ creation, use, and reuse of digital technologies and platforms provides the framework necessary for a new vocabulary that understands the historical and ethical dimensions of digital technology and information circulation (Christen, 2009; Ginsburg, 2008; Hennessy, 2009; Hunter et al., 2004; Johnson, 2003; Verran et al., 2007). </w:t>
      </w:r>
    </w:p>
    <w:p w14:paraId="45E4EF18" w14:textId="77777777" w:rsidR="00076776" w:rsidRDefault="00076776"/>
    <w:p w14:paraId="7AB556CA" w14:textId="77777777" w:rsidR="00076776" w:rsidRDefault="00000000">
      <w:pPr>
        <w:pStyle w:val="Heading2"/>
      </w:pPr>
      <w:r>
        <w:t>Notes</w:t>
      </w:r>
    </w:p>
    <w:p w14:paraId="19CF72E1" w14:textId="77777777" w:rsidR="00076776" w:rsidRDefault="00000000">
      <w:r>
        <w:t>13 @ISr@Law@UL@Diss?</w:t>
      </w:r>
    </w:p>
    <w:p w14:paraId="4676E001" w14:textId="77777777" w:rsidR="00076776" w:rsidRDefault="00000000">
      <w:r>
        <w:t xml:space="preserve">On the “commonplace perceptions of </w:t>
      </w:r>
      <w:r>
        <w:rPr>
          <w:b/>
        </w:rPr>
        <w:t>the public domain as a neutral space</w:t>
      </w:r>
      <w:r>
        <w:t xml:space="preserve">….” What we need is “a historicized account of the public domain instead acknowledges a variety of spaces that have violated indigenous peoples’ rights by defining their collective works as “folklore” and excluding their protection via copyright system (Christen, 2011; </w:t>
      </w:r>
      <w:proofErr w:type="spellStart"/>
      <w:r>
        <w:t>Dommann</w:t>
      </w:r>
      <w:proofErr w:type="spellEnd"/>
      <w:r>
        <w:t>, 2008; Wendland, 2008).”</w:t>
      </w:r>
    </w:p>
    <w:p w14:paraId="597C5E07" w14:textId="77777777" w:rsidR="00076776" w:rsidRDefault="00076776"/>
    <w:p w14:paraId="13302051" w14:textId="77777777" w:rsidR="00076776" w:rsidRDefault="00000000">
      <w:r>
        <w:t xml:space="preserve">We see this similar move, to make a folklore of an ontology, in the legal sense, with the dismissing of IK and laws in </w:t>
      </w:r>
      <w:r>
        <w:rPr>
          <w:i/>
        </w:rPr>
        <w:t>Delgamuukw</w:t>
      </w:r>
      <w:r>
        <w:t xml:space="preserve">, for example. </w:t>
      </w:r>
    </w:p>
    <w:p w14:paraId="38547AE0" w14:textId="77777777" w:rsidR="00076776" w:rsidRDefault="00076776"/>
    <w:p w14:paraId="1BFAA6BD" w14:textId="77777777" w:rsidR="00076776" w:rsidRDefault="00000000">
      <w:r>
        <w:t>21 @Ethics@ISr</w:t>
      </w:r>
    </w:p>
    <w:p w14:paraId="79DB5F72" w14:textId="77777777" w:rsidR="00076776" w:rsidRDefault="00000000">
      <w:r>
        <w:t xml:space="preserve">This is a laudable aim, one I share, yet I still have the pressing feeling that neocolonialism will have its day in these spaces. To that end, when C writes that “human beings must decide how we want to imagine the world of knowledge-sharing and information management,” I would say that we already have, and it is colonized—we have even colonized ourselves in that we have implanted the settler state’s ideologies in nearly every facet of settler society, including government and education. </w:t>
      </w:r>
    </w:p>
    <w:p w14:paraId="6FE9A0DB" w14:textId="77777777" w:rsidR="00076776" w:rsidRDefault="00076776"/>
    <w:p w14:paraId="70CCE8EB" w14:textId="77777777" w:rsidR="00076776" w:rsidRDefault="00000000">
      <w:pPr>
        <w:ind w:left="720"/>
      </w:pPr>
      <w:r>
        <w:t>Shifting the focus away from information as bits and bytes or commodified content, indigenous cultural protocols and structures for information circulation remind us that information neither wants to be free nor wants to be open; human beings must decide how we want to imagine the world of knowledge-sharing and information management in ways that are at once ethical and cognizant of the deep histories of engagement and exclusion that animate this terrain.</w:t>
      </w:r>
    </w:p>
    <w:p w14:paraId="001066DA" w14:textId="77777777" w:rsidR="00076776" w:rsidRDefault="00076776"/>
    <w:p w14:paraId="104666D4" w14:textId="77777777" w:rsidR="00076776" w:rsidRDefault="00000000">
      <w:pPr>
        <w:pStyle w:val="Heading1"/>
      </w:pPr>
      <w:bookmarkStart w:id="9" w:name="_heading=h.4d34og8" w:colFirst="0" w:colLast="0"/>
      <w:bookmarkEnd w:id="9"/>
      <w:r>
        <w:t xml:space="preserve">(2010) Kovach, </w:t>
      </w:r>
      <w:r>
        <w:rPr>
          <w:i/>
        </w:rPr>
        <w:t>Indigenous Methodologies: Characteristics, Conversations, and Contexts</w:t>
      </w:r>
    </w:p>
    <w:p w14:paraId="77E39E3E" w14:textId="77777777" w:rsidR="00076776" w:rsidRDefault="00076776"/>
    <w:p w14:paraId="723AA61A" w14:textId="77777777" w:rsidR="00076776" w:rsidRDefault="00000000">
      <w:pPr>
        <w:pStyle w:val="Heading2"/>
      </w:pPr>
      <w:r>
        <w:t>Abstract</w:t>
      </w:r>
    </w:p>
    <w:p w14:paraId="4F032B8E" w14:textId="77777777" w:rsidR="00076776" w:rsidRDefault="00000000">
      <w:r>
        <w:t xml:space="preserve">Reflections on the various intersections of Indigenous knowledges and Western academia, with recommendations for both Indigenous students and learners, and settler allies. </w:t>
      </w:r>
    </w:p>
    <w:p w14:paraId="47AAC705" w14:textId="77777777" w:rsidR="00076776" w:rsidRDefault="00076776"/>
    <w:p w14:paraId="7DA1DBE3" w14:textId="77777777" w:rsidR="00076776" w:rsidRDefault="00000000">
      <w:pPr>
        <w:pStyle w:val="Heading2"/>
      </w:pPr>
      <w:r>
        <w:t>Key words</w:t>
      </w:r>
    </w:p>
    <w:p w14:paraId="457D81D6" w14:textId="77777777" w:rsidR="00076776" w:rsidRDefault="00000000">
      <w:r>
        <w:t>Indigenous methodology, Indigenous knowledges, academia, Indigenous-settler relations, social justice, epistemologies, pedagogy</w:t>
      </w:r>
    </w:p>
    <w:p w14:paraId="7AEAB7A5" w14:textId="77777777" w:rsidR="00076776" w:rsidRDefault="00076776"/>
    <w:p w14:paraId="19942B08" w14:textId="77777777" w:rsidR="00076776" w:rsidRDefault="00000000">
      <w:pPr>
        <w:pStyle w:val="Heading2"/>
      </w:pPr>
      <w:r>
        <w:t>Essential quote</w:t>
      </w:r>
    </w:p>
    <w:p w14:paraId="64438F92" w14:textId="77777777" w:rsidR="00076776" w:rsidRDefault="00000000">
      <w:r>
        <w:t>163: As a community of researchers, if we do not contest the formidable patterns of settler–Indigenous relations that continue to define us, if we do not take a field trip into our own mutual history, we are bound to replicate—subconsciously or not— the unsettling historical pattern.</w:t>
      </w:r>
    </w:p>
    <w:p w14:paraId="0EE7C0B0" w14:textId="77777777" w:rsidR="00076776" w:rsidRDefault="00076776"/>
    <w:p w14:paraId="6BD7E1F2" w14:textId="77777777" w:rsidR="00076776" w:rsidRDefault="00000000">
      <w:pPr>
        <w:pStyle w:val="Heading2"/>
      </w:pPr>
      <w:r>
        <w:t>Terms</w:t>
      </w:r>
    </w:p>
    <w:p w14:paraId="54040217" w14:textId="77777777" w:rsidR="00076776" w:rsidRDefault="00000000">
      <w:r>
        <w:t xml:space="preserve">13: </w:t>
      </w:r>
      <w:r>
        <w:rPr>
          <w:b/>
        </w:rPr>
        <w:t>methodological discrimination</w:t>
      </w:r>
      <w:r>
        <w:t>: This is problematic and results in a form of ‘methodological discrimination’ (Ryen, 2000: 220), which can only be countered by increasing awareness of Indigenous inquiry. On the methodological buffet table, Indigenous methodologies ought to be a choice.</w:t>
      </w:r>
    </w:p>
    <w:p w14:paraId="38D10BE4" w14:textId="77777777" w:rsidR="00076776" w:rsidRDefault="00000000">
      <w:r>
        <w:t xml:space="preserve">14: </w:t>
      </w:r>
      <w:r>
        <w:rPr>
          <w:b/>
        </w:rPr>
        <w:t>cultural knowledges</w:t>
      </w:r>
      <w:r>
        <w:t>: Cultural knowledges in this statement include the broad spectrum of beliefs about knowledge stemming from an individual’s own cultural group; this could include knowledge from the sacred and ceremonial.</w:t>
      </w:r>
    </w:p>
    <w:p w14:paraId="46C1F402" w14:textId="77777777" w:rsidR="00076776" w:rsidRDefault="00000000">
      <w:r>
        <w:t xml:space="preserve">20: </w:t>
      </w:r>
      <w:r>
        <w:rPr>
          <w:b/>
        </w:rPr>
        <w:t>Indigenous</w:t>
      </w:r>
      <w:r>
        <w:t xml:space="preserve">: </w:t>
      </w:r>
      <w:r>
        <w:rPr>
          <w:i/>
        </w:rPr>
        <w:t xml:space="preserve">Indigenous </w:t>
      </w:r>
      <w:r>
        <w:t xml:space="preserve">to refer to Indigenous peoples and culture. </w:t>
      </w:r>
    </w:p>
    <w:p w14:paraId="19BAC3D3" w14:textId="77777777" w:rsidR="00076776" w:rsidRDefault="00000000">
      <w:r>
        <w:lastRenderedPageBreak/>
        <w:t xml:space="preserve">20: </w:t>
      </w:r>
      <w:r>
        <w:rPr>
          <w:b/>
        </w:rPr>
        <w:t>Aboriginal</w:t>
      </w:r>
      <w:r>
        <w:t xml:space="preserve">: However, I periodically use the term </w:t>
      </w:r>
      <w:r>
        <w:rPr>
          <w:i/>
        </w:rPr>
        <w:t xml:space="preserve">Aboriginal </w:t>
      </w:r>
      <w:r>
        <w:t xml:space="preserve">when referring to a specific Canadian context, such as in reference to Aboriginal rights. </w:t>
      </w:r>
    </w:p>
    <w:p w14:paraId="2CF739FD" w14:textId="77777777" w:rsidR="00076776" w:rsidRDefault="00000000">
      <w:r>
        <w:t xml:space="preserve">20: </w:t>
      </w:r>
      <w:r>
        <w:rPr>
          <w:b/>
        </w:rPr>
        <w:t>Indian</w:t>
      </w:r>
      <w:r>
        <w:t xml:space="preserve">: Correspondingly, this applies to the word </w:t>
      </w:r>
      <w:r>
        <w:rPr>
          <w:i/>
        </w:rPr>
        <w:t xml:space="preserve">Indian </w:t>
      </w:r>
      <w:r>
        <w:t>(when referring to the Canadian status Indian population) as defined in the Indian Act.</w:t>
      </w:r>
    </w:p>
    <w:p w14:paraId="23786B90" w14:textId="77777777" w:rsidR="00076776" w:rsidRDefault="00000000">
      <w:r>
        <w:rPr>
          <w:highlight w:val="green"/>
        </w:rPr>
        <w:t>20</w:t>
      </w:r>
      <w:r>
        <w:t xml:space="preserve">: </w:t>
      </w:r>
      <w:r>
        <w:rPr>
          <w:b/>
          <w:i/>
        </w:rPr>
        <w:t>Tribal knowledge</w:t>
      </w:r>
      <w:r>
        <w:rPr>
          <w:i/>
        </w:rPr>
        <w:t xml:space="preserve"> </w:t>
      </w:r>
      <w:r>
        <w:t xml:space="preserve">refers to a specific tribal way of knowing (e.g., </w:t>
      </w:r>
      <w:proofErr w:type="spellStart"/>
      <w:r>
        <w:t>Nêhiýaw</w:t>
      </w:r>
      <w:proofErr w:type="spellEnd"/>
      <w:r>
        <w:t xml:space="preserve">); the term </w:t>
      </w:r>
      <w:r>
        <w:rPr>
          <w:b/>
          <w:i/>
        </w:rPr>
        <w:t>Indigenous knowledges</w:t>
      </w:r>
      <w:r>
        <w:t>, however, acknowledges both the shared commonalities and the diversity of many tribal ways of knowing.</w:t>
      </w:r>
    </w:p>
    <w:p w14:paraId="5DC3462F" w14:textId="77777777" w:rsidR="00076776" w:rsidRDefault="00000000">
      <w:r>
        <w:t xml:space="preserve">Arguably, </w:t>
      </w:r>
      <w:r>
        <w:rPr>
          <w:b/>
          <w:i/>
        </w:rPr>
        <w:t>Indigenous methodology</w:t>
      </w:r>
      <w:r>
        <w:t xml:space="preserve">, like </w:t>
      </w:r>
      <w:r>
        <w:rPr>
          <w:b/>
          <w:i/>
        </w:rPr>
        <w:t>Indigenous theory</w:t>
      </w:r>
      <w:r>
        <w:t xml:space="preserve">, is a contested term. Referring to the use of the term </w:t>
      </w:r>
      <w:r>
        <w:rPr>
          <w:b/>
          <w:i/>
        </w:rPr>
        <w:t>theory</w:t>
      </w:r>
      <w:r>
        <w:t xml:space="preserve">, Cree scholar Neal McLeod acknowledges a positioning that thinking beyond the colonial box is ‘a theoretical activity,’ while others hold the perspective that theory is ‘an inherently Western idea and cannot be rendered within Indigenous philosophies’ (2007: 98). This same argument applies to the term </w:t>
      </w:r>
      <w:r>
        <w:rPr>
          <w:b/>
          <w:i/>
        </w:rPr>
        <w:t>methodology</w:t>
      </w:r>
      <w:r>
        <w:rPr>
          <w:i/>
        </w:rPr>
        <w:t xml:space="preserve">. </w:t>
      </w:r>
      <w:r>
        <w:t xml:space="preserve">For the sake of clarity, and to be congruent with the growing literature within Indigenous research approaches (Wilson, 2001; Steinhauer, 2002; Kovach, 2005), I have chosen to use the term </w:t>
      </w:r>
      <w:r>
        <w:rPr>
          <w:b/>
          <w:i/>
        </w:rPr>
        <w:t>Indigenous methodologies</w:t>
      </w:r>
      <w:r>
        <w:t>, in the plural, to describe the theory and method of conducting research that flows from an Indigenous epistemology.</w:t>
      </w:r>
    </w:p>
    <w:p w14:paraId="27684EDE" w14:textId="77777777" w:rsidR="00076776" w:rsidRDefault="00000000">
      <w:r>
        <w:rPr>
          <w:highlight w:val="green"/>
        </w:rPr>
        <w:t xml:space="preserve">21: </w:t>
      </w:r>
      <w:r>
        <w:rPr>
          <w:b/>
          <w:highlight w:val="green"/>
        </w:rPr>
        <w:t>epistemology</w:t>
      </w:r>
      <w:r>
        <w:t>:</w:t>
      </w:r>
      <w:r>
        <w:rPr>
          <w:i/>
        </w:rPr>
        <w:t xml:space="preserve"> </w:t>
      </w:r>
      <w:r>
        <w:t xml:space="preserve">[@Epistem@IK@Ontol] … a system of knowledge that references within it the social relations of knowledge production. It is different from </w:t>
      </w:r>
      <w:r>
        <w:rPr>
          <w:b/>
        </w:rPr>
        <w:t>ontology</w:t>
      </w:r>
      <w:r>
        <w:t xml:space="preserve">, in that ontology is concerned with the nature of being and reality. … The term </w:t>
      </w:r>
      <w:r>
        <w:rPr>
          <w:i/>
        </w:rPr>
        <w:t xml:space="preserve">epistemology </w:t>
      </w:r>
      <w:r>
        <w:t xml:space="preserve">most closely </w:t>
      </w:r>
      <w:proofErr w:type="spellStart"/>
      <w:r>
        <w:t>approxi</w:t>
      </w:r>
      <w:proofErr w:type="spellEnd"/>
      <w:r>
        <w:t>- mates the ‘self-in-relation’ (Graveline, 2000: 361).</w:t>
      </w:r>
    </w:p>
    <w:p w14:paraId="67A673A9" w14:textId="77777777" w:rsidR="00076776" w:rsidRDefault="00000000">
      <w:r>
        <w:t xml:space="preserve">21: </w:t>
      </w:r>
      <w:r>
        <w:rPr>
          <w:b/>
        </w:rPr>
        <w:t>Western</w:t>
      </w:r>
      <w:r>
        <w:t xml:space="preserve">: … the term </w:t>
      </w:r>
      <w:r>
        <w:rPr>
          <w:i/>
        </w:rPr>
        <w:t xml:space="preserve">Western </w:t>
      </w:r>
      <w:r>
        <w:t>is used as a descriptive term for a particular ontological, epistemological, sociological, and ideological way of thinking and being as differentiated from Eastern thought, an Indigenous worldview, and so forth. It is understood that Western thought is not monolithic or static, that it holds within it rich diversity and contributions; however, this book is not devoted to examining the intricacies of a Western worldview.</w:t>
      </w:r>
    </w:p>
    <w:p w14:paraId="77B01280" w14:textId="77777777" w:rsidR="00076776" w:rsidRDefault="00000000">
      <w:r>
        <w:t xml:space="preserve">78: </w:t>
      </w:r>
      <w:r>
        <w:rPr>
          <w:b/>
        </w:rPr>
        <w:t>science</w:t>
      </w:r>
      <w:r>
        <w:t xml:space="preserve">: Arguably, Western science can be broadly or narrowly defined. A broad definition of science is that it is an attempt to understand the workings of the universe from a variety of sources. This definition fits well with the multiplicity of sources comprising Indigenous ways of knowing. However, a more conventional definition of science relegates it to that which flows from a scientific method of inquiry. Within this European-oriented philosophy of knowledge and science, research practices, firmly rooted in the principles of Descartes’ and Bacon’s scientific method, were established as legitimate routes for the creation of knowledge. </w:t>
      </w:r>
    </w:p>
    <w:p w14:paraId="38C2BF39" w14:textId="77777777" w:rsidR="00076776" w:rsidRDefault="00000000">
      <w:r>
        <w:t xml:space="preserve">78: </w:t>
      </w:r>
      <w:r>
        <w:rPr>
          <w:b/>
        </w:rPr>
        <w:t>positivism</w:t>
      </w:r>
      <w:r>
        <w:t xml:space="preserve">: Positivist approaches, with their propositions of neutrality and their service to a political and economic agenda of capital (more currently globalization), </w:t>
      </w:r>
      <w:proofErr w:type="spellStart"/>
      <w:r>
        <w:t>philosoph</w:t>
      </w:r>
      <w:proofErr w:type="spellEnd"/>
      <w:r>
        <w:t xml:space="preserve">- </w:t>
      </w:r>
      <w:proofErr w:type="spellStart"/>
      <w:r>
        <w:t>ically</w:t>
      </w:r>
      <w:proofErr w:type="spellEnd"/>
      <w:r>
        <w:t xml:space="preserve"> conflict with Indigenous social values. Furthermore, critical scholars, Indigenous or otherwise, point towards the primacy of ‘objectivism’ within positivism, which narrows what knowledge can entail. Seemingly, it is the emphasis on external evidence, testing and universal laws of generalizability that contradict a more integrated, holistic, contextualized Indigenous approach to knowledge.</w:t>
      </w:r>
    </w:p>
    <w:p w14:paraId="222EB7D0" w14:textId="77777777" w:rsidR="00076776" w:rsidRDefault="00000000">
      <w:r>
        <w:t xml:space="preserve">78: </w:t>
      </w:r>
      <w:r>
        <w:rPr>
          <w:b/>
        </w:rPr>
        <w:t>Indigenous exotic response</w:t>
      </w:r>
      <w:r>
        <w:t xml:space="preserve">: There have been at least two types of ideological responses to the conundrum of Indigenous epistemologies within Western knowledge centres … as E. </w:t>
      </w:r>
      <w:r>
        <w:rPr>
          <w:highlight w:val="magenta"/>
        </w:rPr>
        <w:t>Steinhauer</w:t>
      </w:r>
      <w:r>
        <w:t xml:space="preserve"> (2002) suggests, the increasingly common response is to equate Indigenous knowledges with a cultural exoticism and thus relegate them to the periphery of the ‘real’ work of knowledge construction. </w:t>
      </w:r>
    </w:p>
    <w:p w14:paraId="754E72B0" w14:textId="77777777" w:rsidR="00076776" w:rsidRDefault="00000000">
      <w:r>
        <w:t xml:space="preserve">79: </w:t>
      </w:r>
      <w:r>
        <w:rPr>
          <w:b/>
        </w:rPr>
        <w:t>ideologies</w:t>
      </w:r>
      <w:r>
        <w:t>: … both the epistemologies (our understanding about the world) and ideologies (what should count as knowledge and who gets to make that choice) ….</w:t>
      </w:r>
    </w:p>
    <w:p w14:paraId="5D92B8C1" w14:textId="77777777" w:rsidR="00076776" w:rsidRDefault="00000000">
      <w:r>
        <w:lastRenderedPageBreak/>
        <w:t xml:space="preserve">80: </w:t>
      </w:r>
      <w:r>
        <w:rPr>
          <w:b/>
        </w:rPr>
        <w:t>decolonizing theoretical lens</w:t>
      </w:r>
      <w:r>
        <w:t xml:space="preserve">: </w:t>
      </w:r>
      <w:r>
        <w:rPr>
          <w:highlight w:val="magenta"/>
        </w:rPr>
        <w:t>Graham Smith</w:t>
      </w:r>
      <w:r>
        <w:t xml:space="preserve"> (1997) observes that a decolonizing approach, built upon critical theory, is particularly effective in analysing power differences between groups; that it provides hope for transformation; that there is a role for both structural change and personal agency in resistance; and that </w:t>
      </w:r>
      <w:r>
        <w:rPr>
          <w:highlight w:val="magenta"/>
        </w:rPr>
        <w:t>Habermas</w:t>
      </w:r>
      <w:r>
        <w:t xml:space="preserve">’ notion of finding victories in small struggles resists a purist tendency towards an all-or-nothing approach to social transformation. </w:t>
      </w:r>
    </w:p>
    <w:p w14:paraId="60C6B6D4" w14:textId="77777777" w:rsidR="00076776" w:rsidRDefault="00000000">
      <w:r>
        <w:t xml:space="preserve">80: </w:t>
      </w:r>
      <w:r>
        <w:rPr>
          <w:b/>
        </w:rPr>
        <w:t>tribal methodology</w:t>
      </w:r>
      <w:r>
        <w:t xml:space="preserve">: One approach, best called a </w:t>
      </w:r>
      <w:r>
        <w:rPr>
          <w:i/>
        </w:rPr>
        <w:t>tribal methodology</w:t>
      </w:r>
      <w:r>
        <w:t>, puts tribal epistemologies at the centre as the guiding force for research choices. Tribal methodology calls for a minimal integration of decolonizing theory into methodology through the documenting of the historical experience of colonial relations. The sole focus is on tribal knowledges. Another approach utilizes a decolonizing theory as its centring epistemology, thus becoming easily associated with transformative research. It is possible to situate decolonizing methodologies as falling under the umbrella of an Indigenous research framework, but given its critical theoretical basis, it is more aligned with Western critical re- search methodologies. In this framework, there would be an indication and acknowledgment of a transformative theoretical base.</w:t>
      </w:r>
    </w:p>
    <w:p w14:paraId="4260C060" w14:textId="77777777" w:rsidR="00076776" w:rsidRDefault="00000000">
      <w:r>
        <w:t>A third possibility is the inclusion of a decolonizing lens within a tribal-centred methodology that goes beyond identifying the colonial impact and seeks change. However, tribal-centred methodology does not centre the colonial relationship.</w:t>
      </w:r>
    </w:p>
    <w:p w14:paraId="14C10928" w14:textId="77777777" w:rsidR="00076776" w:rsidRDefault="00000000">
      <w:r>
        <w:rPr>
          <w:highlight w:val="green"/>
        </w:rPr>
        <w:t xml:space="preserve">89: </w:t>
      </w:r>
      <w:r>
        <w:rPr>
          <w:b/>
          <w:highlight w:val="green"/>
        </w:rPr>
        <w:t>conscientization</w:t>
      </w:r>
      <w:r>
        <w:t>: [</w:t>
      </w:r>
      <w:r>
        <w:rPr>
          <w:highlight w:val="magenta"/>
        </w:rPr>
        <w:t>Graham Smith</w:t>
      </w:r>
      <w:r>
        <w:t>’s term @</w:t>
      </w:r>
      <w:proofErr w:type="gramStart"/>
      <w:r>
        <w:t>Diss?@</w:t>
      </w:r>
      <w:proofErr w:type="gramEnd"/>
      <w:r>
        <w:t>FFessay]</w:t>
      </w:r>
      <w:r>
        <w:rPr>
          <w:i/>
        </w:rPr>
        <w:t xml:space="preserve"> </w:t>
      </w:r>
      <w:r>
        <w:t xml:space="preserve">I prefer to use the term and talk about </w:t>
      </w:r>
      <w:r>
        <w:rPr>
          <w:b/>
          <w:i/>
        </w:rPr>
        <w:t xml:space="preserve">conscientization </w:t>
      </w:r>
      <w:r>
        <w:rPr>
          <w:b/>
        </w:rPr>
        <w:t>rather than colonization</w:t>
      </w:r>
      <w:r>
        <w:t xml:space="preserve"> because such a term is more positive. It puts a focus on us at the centre rather than the colonizers, and it also centres </w:t>
      </w:r>
      <w:proofErr w:type="gramStart"/>
      <w:r>
        <w:t>concerns</w:t>
      </w:r>
      <w:proofErr w:type="gramEnd"/>
      <w:r>
        <w:t xml:space="preserve"> about our development. // The point here is that we need to learn the critical illiteracies that are required to unpack </w:t>
      </w:r>
      <w:proofErr w:type="gramStart"/>
      <w:r>
        <w:t>all of</w:t>
      </w:r>
      <w:proofErr w:type="gramEnd"/>
      <w:r>
        <w:t xml:space="preserve"> these colonizing processes. Doing a thesis and doing intellectual work is a political process if you are from a minority cultural group because you are often working in an institution that is ruled by the dominant societal groups.</w:t>
      </w:r>
    </w:p>
    <w:p w14:paraId="4C88F4AF" w14:textId="77777777" w:rsidR="00076776" w:rsidRDefault="00000000">
      <w:r>
        <w:t xml:space="preserve">159: </w:t>
      </w:r>
      <w:r>
        <w:rPr>
          <w:b/>
        </w:rPr>
        <w:t>Hawthorne Report</w:t>
      </w:r>
      <w:r>
        <w:t xml:space="preserve"> of 1967: … was a survey of the social, economic, political, and educational needs of [160] status Indian people in Canada, encouraged a policy of integration (ibid., 1986). While this shifted from a policy of educational segregation, registering Indian students into provincial schools was a form of cultural assimilation in a more nuanced guise. </w:t>
      </w:r>
    </w:p>
    <w:p w14:paraId="3D1FBD68" w14:textId="77777777" w:rsidR="00076776" w:rsidRDefault="00000000">
      <w:r>
        <w:t xml:space="preserve">160: </w:t>
      </w:r>
      <w:r>
        <w:rPr>
          <w:b/>
        </w:rPr>
        <w:t>National Indian Brotherhood</w:t>
      </w:r>
      <w:r>
        <w:t xml:space="preserve">: … Indigenous contemporary political action began as early as the 1940s. However, it was not until 1970 that the National Indian Brotherhood formed. … partly in response to the 1969 White Paper of the federal government, which called for a full-scale assimilation policy. The Brotherhood prepared a policy paper, accepted by the government in 1973, entitled </w:t>
      </w:r>
      <w:r>
        <w:rPr>
          <w:b/>
          <w:i/>
        </w:rPr>
        <w:t>Indian Control of Indian Education</w:t>
      </w:r>
      <w:r>
        <w:t xml:space="preserve"> … policy paper addressed the participation of Indian peoples in post-secondary universities by identifying the importance of adult education for Indian people (Richard- son and Blanchet-Cohen, 2000). … educative policy and practice must affirm cultural identity (Barman et al., 1986). </w:t>
      </w:r>
    </w:p>
    <w:p w14:paraId="05B224D6" w14:textId="77777777" w:rsidR="00076776" w:rsidRDefault="00076776"/>
    <w:p w14:paraId="1E3BE85B" w14:textId="77777777" w:rsidR="00076776" w:rsidRDefault="00000000">
      <w:pPr>
        <w:pStyle w:val="Heading2"/>
      </w:pPr>
      <w:r>
        <w:t>Core quotes</w:t>
      </w:r>
    </w:p>
    <w:p w14:paraId="7B4DB0E3" w14:textId="77777777" w:rsidR="00076776" w:rsidRDefault="00000000">
      <w:r>
        <w:t>12 @Acad@Arg@IK@Dual@FFessay@DECOL</w:t>
      </w:r>
    </w:p>
    <w:p w14:paraId="6E87FFC1" w14:textId="77777777" w:rsidR="00076776" w:rsidRDefault="00000000">
      <w:r>
        <w:t xml:space="preserve">From the Introduction, a key point on the </w:t>
      </w:r>
      <w:r>
        <w:rPr>
          <w:b/>
        </w:rPr>
        <w:t>move beyond duality</w:t>
      </w:r>
      <w:r>
        <w:t xml:space="preserve">: </w:t>
      </w:r>
    </w:p>
    <w:p w14:paraId="726B82BA" w14:textId="77777777" w:rsidR="00076776" w:rsidRDefault="00000000">
      <w:pPr>
        <w:ind w:left="720"/>
      </w:pPr>
      <w:r>
        <w:t xml:space="preserve">As the academic landscape shifts with an increasing Indigenous presence, </w:t>
      </w:r>
      <w:r>
        <w:rPr>
          <w:b/>
        </w:rPr>
        <w:t xml:space="preserve">there is a desire among a growing community of non-Indigenous academics to move beyond the binaries found within Indigenous–settler relations to construct new, mutual forms of dialogue, research, theory, and action. </w:t>
      </w:r>
      <w:proofErr w:type="gramStart"/>
      <w:r>
        <w:t>As long as</w:t>
      </w:r>
      <w:proofErr w:type="gramEnd"/>
      <w:r>
        <w:t xml:space="preserve"> the academy mirrors a homogeneous reflection of bodies, minds, and methods, our move in this direction is stalled. </w:t>
      </w:r>
      <w:r>
        <w:rPr>
          <w:b/>
        </w:rPr>
        <w:t xml:space="preserve">The infusion of Indigenous knowledge systems and research frameworks </w:t>
      </w:r>
      <w:r>
        <w:rPr>
          <w:b/>
        </w:rPr>
        <w:lastRenderedPageBreak/>
        <w:t>informed by the distinctiveness of cultural epistemologies transforms homogeneity</w:t>
      </w:r>
      <w:r>
        <w:t xml:space="preserve">. It not only provides another environment where Indigenous knowledges can </w:t>
      </w:r>
      <w:proofErr w:type="gramStart"/>
      <w:r>
        <w:t>live, but</w:t>
      </w:r>
      <w:proofErr w:type="gramEnd"/>
      <w:r>
        <w:t xml:space="preserve"> changes the nature of the academy itself. </w:t>
      </w:r>
      <w:r>
        <w:rPr>
          <w:b/>
        </w:rPr>
        <w:t>Indigenous methodologies disrupt methodological homogeneity in research</w:t>
      </w:r>
      <w:r>
        <w:t>. [13] … there is a need for methodologies that are inherently and wholly Indigenous.</w:t>
      </w:r>
    </w:p>
    <w:p w14:paraId="2182FDE7" w14:textId="77777777" w:rsidR="00076776" w:rsidRDefault="00076776"/>
    <w:p w14:paraId="395342C9" w14:textId="77777777" w:rsidR="00076776" w:rsidRDefault="00000000">
      <w:r>
        <w:t>11 @Eco@IK@SettState@DECOL</w:t>
      </w:r>
    </w:p>
    <w:p w14:paraId="4A35F7E1" w14:textId="77777777" w:rsidR="00076776" w:rsidRDefault="00000000">
      <w:pPr>
        <w:ind w:left="720"/>
      </w:pPr>
      <w:r>
        <w:t xml:space="preserve">Many non-Indigenous young people are attracted to Indigenous approaches as well because, I believe, it has to do with </w:t>
      </w:r>
      <w:r>
        <w:rPr>
          <w:b/>
        </w:rPr>
        <w:t>a generation seeking ways to understand the world without harming it</w:t>
      </w:r>
      <w:r>
        <w:t>.</w:t>
      </w:r>
    </w:p>
    <w:p w14:paraId="13734AEF" w14:textId="77777777" w:rsidR="00076776" w:rsidRDefault="00076776"/>
    <w:p w14:paraId="490E5E48" w14:textId="77777777" w:rsidR="00076776" w:rsidRDefault="00000000">
      <w:pPr>
        <w:rPr>
          <w:highlight w:val="green"/>
        </w:rPr>
      </w:pPr>
      <w:r>
        <w:rPr>
          <w:highlight w:val="green"/>
        </w:rPr>
        <w:t>75 @Poco@IK@SettPsyche@FFessay@DECOL</w:t>
      </w:r>
    </w:p>
    <w:p w14:paraId="4743D77B" w14:textId="77777777" w:rsidR="00076776" w:rsidRDefault="00000000">
      <w:pPr>
        <w:ind w:left="720"/>
      </w:pPr>
      <w:r>
        <w:t xml:space="preserve">Tuhiwai Smith critiques the ‘post’ in postcolonial and suggests that ‘naming the world as “post-colonial” is, </w:t>
      </w:r>
      <w:proofErr w:type="gramStart"/>
      <w:r>
        <w:t>from indigenous perspectives,</w:t>
      </w:r>
      <w:proofErr w:type="gramEnd"/>
      <w:r>
        <w:t xml:space="preserve"> to name colonialism as finished business’ (1999: 99). In focusing on the ‘post’ perspective, it frees one from historical analysis. Within a Canadian Aboriginal context, this is problematic because the non-Indigenous majority are adept at forgetting this country’s colonial history, thus maintaining its reproduction.</w:t>
      </w:r>
    </w:p>
    <w:p w14:paraId="10AE7608" w14:textId="77777777" w:rsidR="00076776" w:rsidRDefault="00076776"/>
    <w:p w14:paraId="0FF2DD69" w14:textId="77777777" w:rsidR="00076776" w:rsidRDefault="00000000">
      <w:r>
        <w:t>85 @IK@Decol@Acad@Diss@FFessay@Epistem</w:t>
      </w:r>
    </w:p>
    <w:p w14:paraId="7324CA13" w14:textId="77777777" w:rsidR="00076776" w:rsidRDefault="00000000">
      <w:pPr>
        <w:ind w:left="720"/>
      </w:pPr>
      <w:r>
        <w:t>… a decolonizing lens assists in making sense of the contradictory personal experiences of the Indigenous researcher that arise from dual accountability to the Indigenous community and to mainstream Western research site. The struggle to maintain our cultural epistemic positioning within powerful institutions like universities can be exhausting. The risk of being absorbed by Western thought once inside colonial spaces is great. The risk of being absorbed by Western thought once inside colonial spaces is great.</w:t>
      </w:r>
    </w:p>
    <w:p w14:paraId="65693F4C" w14:textId="77777777" w:rsidR="00076776" w:rsidRDefault="00076776"/>
    <w:p w14:paraId="11AE4551" w14:textId="77777777" w:rsidR="00076776" w:rsidRDefault="00000000">
      <w:r>
        <w:t>156 @ISr@Acad@IK@FFessay</w:t>
      </w:r>
    </w:p>
    <w:p w14:paraId="65A5EDD2" w14:textId="77777777" w:rsidR="00076776" w:rsidRDefault="00000000">
      <w:pPr>
        <w:ind w:left="720"/>
      </w:pPr>
      <w:r>
        <w:t xml:space="preserve">At the inaugural </w:t>
      </w:r>
      <w:proofErr w:type="spellStart"/>
      <w:r>
        <w:rPr>
          <w:i/>
        </w:rPr>
        <w:t>Shawane</w:t>
      </w:r>
      <w:proofErr w:type="spellEnd"/>
      <w:r>
        <w:rPr>
          <w:i/>
        </w:rPr>
        <w:t xml:space="preserve"> </w:t>
      </w:r>
      <w:proofErr w:type="spellStart"/>
      <w:r>
        <w:rPr>
          <w:i/>
        </w:rPr>
        <w:t>Dagosiwin</w:t>
      </w:r>
      <w:proofErr w:type="spellEnd"/>
      <w:r>
        <w:rPr>
          <w:i/>
        </w:rPr>
        <w:t xml:space="preserve"> </w:t>
      </w:r>
      <w:r>
        <w:t xml:space="preserve">Aboriginal research conference in Winnipeg in June 2005, Indigenous scholar </w:t>
      </w:r>
      <w:r>
        <w:rPr>
          <w:highlight w:val="magenta"/>
        </w:rPr>
        <w:t>Marlene Brandt-Castellano</w:t>
      </w:r>
      <w:r>
        <w:t xml:space="preserve"> (2005) gave a keynote address. … In speaking specifically about research in the academy, </w:t>
      </w:r>
      <w:r>
        <w:rPr>
          <w:b/>
        </w:rPr>
        <w:t>she said that Indigenous people must suspend distrust and non-Indigenous people must suspend disbelief</w:t>
      </w:r>
      <w:r>
        <w:t xml:space="preserve">. Through the creation of a principled ideological space, a </w:t>
      </w:r>
      <w:proofErr w:type="spellStart"/>
      <w:r>
        <w:rPr>
          <w:i/>
        </w:rPr>
        <w:t>miýo</w:t>
      </w:r>
      <w:proofErr w:type="spellEnd"/>
      <w:r>
        <w:rPr>
          <w:i/>
        </w:rPr>
        <w:t xml:space="preserve"> </w:t>
      </w:r>
      <w:r>
        <w:t>interval, there is a possibility to move forward with the exciting proposition of Indigenous and tribal research frameworks. But how do we create these environments?</w:t>
      </w:r>
    </w:p>
    <w:p w14:paraId="29A17060" w14:textId="77777777" w:rsidR="00076776" w:rsidRDefault="00076776"/>
    <w:p w14:paraId="3160D99C" w14:textId="77777777" w:rsidR="00076776" w:rsidRDefault="00000000">
      <w:r>
        <w:t>157 @Arg@ISr@Hist@IndHist@Epistem@SettState@SJ</w:t>
      </w:r>
    </w:p>
    <w:p w14:paraId="6B88FB21" w14:textId="77777777" w:rsidR="00076776" w:rsidRDefault="00000000">
      <w:pPr>
        <w:ind w:left="720"/>
      </w:pPr>
      <w:r>
        <w:t xml:space="preserve">I argue that there can be no advance in Indigenous research approaches without acknowledging the historical influence of Indigenous–settler relations on educational policy, practice, and research. … Furthermore, </w:t>
      </w:r>
      <w:r>
        <w:rPr>
          <w:b/>
        </w:rPr>
        <w:t>if the academy is going to seriously consider Indigenous knowledges, there must be recognition of the distinct status of Indigenous people as unique from other minority groups.</w:t>
      </w:r>
      <w:r>
        <w:t xml:space="preserve"> This is not to diminish other groups, but to point out that the relationship between post-secondary education and Indigenous people is distinctive and so must be the responses. [158] </w:t>
      </w:r>
      <w:r>
        <w:rPr>
          <w:b/>
        </w:rPr>
        <w:t>Indigenous scholars’ desire to transform</w:t>
      </w:r>
      <w:r>
        <w:t xml:space="preserve"> the exclusive domain of knowledge creation … has its basis in </w:t>
      </w:r>
      <w:r>
        <w:rPr>
          <w:b/>
        </w:rPr>
        <w:t>at least three reasons</w:t>
      </w:r>
      <w:r>
        <w:t xml:space="preserve">: (a) to carry on a struggle borne by historical momentum; </w:t>
      </w:r>
      <w:r>
        <w:lastRenderedPageBreak/>
        <w:t xml:space="preserve">(b) to make visible the connection between cultural longevity, Aboriginal rights, and post-secondary education (with research being inherent to academic higher learning); and (c) </w:t>
      </w:r>
      <w:r>
        <w:rPr>
          <w:b/>
        </w:rPr>
        <w:t>to bring not only Indigenous bodies but Indigenous knowledges into the academy</w:t>
      </w:r>
      <w:r>
        <w:t xml:space="preserve">. </w:t>
      </w:r>
    </w:p>
    <w:p w14:paraId="01170971" w14:textId="77777777" w:rsidR="00076776" w:rsidRDefault="00076776">
      <w:pPr>
        <w:ind w:left="720"/>
      </w:pPr>
    </w:p>
    <w:p w14:paraId="6BD1EF77" w14:textId="77777777" w:rsidR="00076776" w:rsidRDefault="00000000">
      <w:pPr>
        <w:ind w:left="720"/>
      </w:pPr>
      <w:r>
        <w:t>[162] Indigenous access to post-secondary education is critical, yet such education must not infringe on Indigenous peoples’ ability to preserve their culture.</w:t>
      </w:r>
    </w:p>
    <w:p w14:paraId="6FDCAA01" w14:textId="77777777" w:rsidR="00076776" w:rsidRDefault="00076776"/>
    <w:p w14:paraId="7F72E4D1" w14:textId="77777777" w:rsidR="00076776" w:rsidRDefault="00000000">
      <w:pPr>
        <w:rPr>
          <w:highlight w:val="green"/>
        </w:rPr>
      </w:pPr>
      <w:r>
        <w:rPr>
          <w:highlight w:val="green"/>
        </w:rPr>
        <w:t>168 @IK@Acad@ISr@Decol@Epistem</w:t>
      </w:r>
    </w:p>
    <w:p w14:paraId="75C11AE3" w14:textId="77777777" w:rsidR="00076776" w:rsidRDefault="00000000">
      <w:proofErr w:type="spellStart"/>
      <w:r>
        <w:t>R.e</w:t>
      </w:r>
      <w:proofErr w:type="spellEnd"/>
      <w:r>
        <w:t>., “…</w:t>
      </w:r>
      <w:r>
        <w:rPr>
          <w:highlight w:val="red"/>
        </w:rPr>
        <w:t xml:space="preserve">some suggestions for non-Indigenous scholars who want to support Indigenous </w:t>
      </w:r>
      <w:proofErr w:type="gramStart"/>
      <w:r>
        <w:rPr>
          <w:highlight w:val="red"/>
        </w:rPr>
        <w:t>epistemology</w:t>
      </w:r>
      <w:r>
        <w:t>, and</w:t>
      </w:r>
      <w:proofErr w:type="gramEnd"/>
      <w:r>
        <w:t xml:space="preserve"> thus increase their ability to engage with Indigenous research in a respectful manner.</w:t>
      </w:r>
    </w:p>
    <w:p w14:paraId="0C316523" w14:textId="77777777" w:rsidR="00076776" w:rsidRDefault="00076776"/>
    <w:p w14:paraId="5E01AE21" w14:textId="77777777" w:rsidR="00076776" w:rsidRDefault="00000000">
      <w:pPr>
        <w:ind w:firstLine="720"/>
      </w:pPr>
      <w:r>
        <w:t xml:space="preserve">[169] </w:t>
      </w:r>
      <w:r>
        <w:rPr>
          <w:i/>
        </w:rPr>
        <w:t>Decolonizing Self and Institution</w:t>
      </w:r>
    </w:p>
    <w:p w14:paraId="01820D98" w14:textId="77777777" w:rsidR="00076776" w:rsidRDefault="00000000">
      <w:pPr>
        <w:ind w:left="720"/>
      </w:pPr>
      <w:r>
        <w:t>The relationship begins with decolonizing one’s mind and heart. … This means exploring one’s own beliefs and values about knowledge and how it shapes practices. It is about examining whiteness. It is about examining power. It is ongoing. … Without this work, the alternative is, at best, tinkering with the colonial approach to Indigenous knowledges – which does not provide a foundation for Indigenous research frameworks or pedagogies.</w:t>
      </w:r>
    </w:p>
    <w:p w14:paraId="75503F61" w14:textId="77777777" w:rsidR="00076776" w:rsidRDefault="00076776">
      <w:pPr>
        <w:ind w:left="720"/>
      </w:pPr>
    </w:p>
    <w:p w14:paraId="229C712A" w14:textId="77777777" w:rsidR="00076776" w:rsidRDefault="00000000">
      <w:pPr>
        <w:ind w:left="720"/>
        <w:rPr>
          <w:i/>
        </w:rPr>
      </w:pPr>
      <w:r>
        <w:rPr>
          <w:i/>
        </w:rPr>
        <w:t>Knowing the History</w:t>
      </w:r>
    </w:p>
    <w:p w14:paraId="66AE201D" w14:textId="77777777" w:rsidR="00076776" w:rsidRDefault="00000000">
      <w:pPr>
        <w:ind w:left="720"/>
      </w:pPr>
      <w:r>
        <w:t xml:space="preserve">… According to the Department of Indian Affairs statistics, in the 1930s, only one status Indian received a post-secondary degree; in the 1940s there were two; in the 1950s, there were thirty; and in the 1960s, a total of 107 status Indians acquired post-second- </w:t>
      </w:r>
      <w:proofErr w:type="spellStart"/>
      <w:r>
        <w:t>ary</w:t>
      </w:r>
      <w:proofErr w:type="spellEnd"/>
      <w:r>
        <w:t xml:space="preserve"> degrees. In the period 1934 to 1976, there was only one status Indian Ph.D. recorded (Stonechild, 2006: 42). Many current Indigenous post-secondary students are the first in their families and/or communities to graduate from university. … Non-Indigenous scholars must acknowledge that this is a time of trust-building.</w:t>
      </w:r>
    </w:p>
    <w:p w14:paraId="4112D9CB" w14:textId="77777777" w:rsidR="00076776" w:rsidRDefault="00076776">
      <w:pPr>
        <w:ind w:left="720"/>
      </w:pPr>
    </w:p>
    <w:p w14:paraId="0B3A11BF" w14:textId="77777777" w:rsidR="00076776" w:rsidRDefault="00000000">
      <w:pPr>
        <w:ind w:left="720"/>
      </w:pPr>
      <w:r>
        <w:t xml:space="preserve">[170] </w:t>
      </w:r>
      <w:r>
        <w:rPr>
          <w:i/>
        </w:rPr>
        <w:t>Moving beyond the Indigenous Exotic</w:t>
      </w:r>
    </w:p>
    <w:p w14:paraId="4DC78D6D" w14:textId="77777777" w:rsidR="00076776" w:rsidRDefault="00000000">
      <w:pPr>
        <w:ind w:left="720"/>
      </w:pPr>
      <w:r>
        <w:t>… means reconceptualizing the relationship with Indigenous communities from that of a studied, exotic ‘other’ to that of a partnering relationship. The spiritual, holistic nature of Indigenous knowledges can be problematic for the more traditional, empiricist approach to knowledge. Not all academic researchers will embrace Indigenous knowledges if doing so is too far from their level of comfort. However, this hesitancy, stemming from discomfort, should not translate into dismissing or objectifying Indigenous knowledges. Given the attention to this dynamic, it is shocking to see it continually replicated.</w:t>
      </w:r>
    </w:p>
    <w:p w14:paraId="7B895B8C" w14:textId="77777777" w:rsidR="00076776" w:rsidRDefault="00076776">
      <w:pPr>
        <w:ind w:left="720"/>
      </w:pPr>
    </w:p>
    <w:p w14:paraId="5F89F89A" w14:textId="77777777" w:rsidR="00076776" w:rsidRDefault="00000000">
      <w:pPr>
        <w:ind w:left="720"/>
        <w:rPr>
          <w:i/>
        </w:rPr>
      </w:pPr>
      <w:r>
        <w:rPr>
          <w:i/>
        </w:rPr>
        <w:t>Growing Indigenous Scholarship</w:t>
      </w:r>
    </w:p>
    <w:p w14:paraId="4B13179E" w14:textId="77777777" w:rsidR="00076776" w:rsidRDefault="00000000">
      <w:pPr>
        <w:ind w:left="720"/>
      </w:pPr>
      <w:r>
        <w:t xml:space="preserve">Non-Indigenous scholars have a role in mentoring Indigenous researchers on the intellectual aspects of academia related to its operational requirements (e.g., research and knowledge). Mentorship that offers non-prescribed space for cultural epistemologies within academic production would be invaluable. … Co-partnered workshops on Aboriginal proposal development would be a helpful support. Mentorship concerning publications, either through journal or book publication, is also valuable. A co-partnered </w:t>
      </w:r>
      <w:r>
        <w:lastRenderedPageBreak/>
        <w:t>workshop on the publication process, with a focus on publishing Indigenous writing, would be immensely helpful to Indigenous academics new to this process. The recommendation is not for a standard workshop delivered to Indigenous folk, but a workshop developed in specific consideration of Indigenous scholarly responsibilities and recognition of cultural epistemologies.</w:t>
      </w:r>
    </w:p>
    <w:p w14:paraId="367DE2EA" w14:textId="77777777" w:rsidR="00076776" w:rsidRDefault="00076776">
      <w:pPr>
        <w:ind w:left="720"/>
      </w:pPr>
    </w:p>
    <w:p w14:paraId="1676EEAC" w14:textId="77777777" w:rsidR="00076776" w:rsidRDefault="00000000">
      <w:pPr>
        <w:ind w:left="720"/>
        <w:rPr>
          <w:i/>
        </w:rPr>
      </w:pPr>
      <w:r>
        <w:rPr>
          <w:i/>
        </w:rPr>
        <w:t>Evaluation of Indigenous Research and Scholarship</w:t>
      </w:r>
    </w:p>
    <w:p w14:paraId="6BAEF0C8" w14:textId="77777777" w:rsidR="00076776" w:rsidRDefault="00000000">
      <w:pPr>
        <w:ind w:left="720"/>
      </w:pPr>
      <w:r>
        <w:t xml:space="preserve">At this point, non-Indigenous scholars are evaluating Indigenous academic products. Supporting Indigenous scholarship means guarding [171] against the tendency to adjudicate such scholarship based on the degree to which it conforms to Western academic custom. This requires non-Indigenous scholars to become intellectually open to and familiar with Indigenous knowledges (as a way of knowing distinct from Western thought). … Any critique of Indigenous scholarship must follow the rules of col- </w:t>
      </w:r>
      <w:proofErr w:type="spellStart"/>
      <w:r>
        <w:t>lective</w:t>
      </w:r>
      <w:proofErr w:type="spellEnd"/>
      <w:r>
        <w:t xml:space="preserve"> relationship-building rather than the more competitive approach found in many university settings. Many non-Indigenous scholars are hesitant to critique Indigenous research. This is, in part, a result of not having enough familiarity with the subject area. Other factors include a fear that they will be considered colonial or that they will say something hurtful or be misinterpreted. Others are not hesitant at all. They critique Indigenous scholarship on narrowly pre- scribed Western terms, often harshly, without recognizing that their evaluations carry a cultural bias.</w:t>
      </w:r>
    </w:p>
    <w:p w14:paraId="3158209E" w14:textId="77777777" w:rsidR="00076776" w:rsidRDefault="00076776">
      <w:pPr>
        <w:ind w:left="720"/>
      </w:pPr>
    </w:p>
    <w:p w14:paraId="1CE81FE6" w14:textId="77777777" w:rsidR="00076776" w:rsidRDefault="00000000">
      <w:pPr>
        <w:ind w:left="720"/>
      </w:pPr>
      <w:r>
        <w:t xml:space="preserve">[171] </w:t>
      </w:r>
      <w:r>
        <w:rPr>
          <w:i/>
        </w:rPr>
        <w:t>Redefining Roles</w:t>
      </w:r>
    </w:p>
    <w:p w14:paraId="101C6D82" w14:textId="77777777" w:rsidR="00076776" w:rsidRDefault="00000000">
      <w:pPr>
        <w:ind w:left="720"/>
      </w:pPr>
      <w:r>
        <w:t>… it is safe to say that the role of non-Indigenous scholars within Indigenous research is not the same as it was ten, even five, years ago. … The emergence of non-Indigenous ‘</w:t>
      </w:r>
      <w:r>
        <w:rPr>
          <w:b/>
        </w:rPr>
        <w:t>Indigenous knowledge brokers</w:t>
      </w:r>
      <w:r>
        <w:t xml:space="preserve">’ is a contemporary phenomenon. This group is comprised of non-Indigenous scholars who are reputable within Indigenous communities and can be called upon by other non-Indigenous scholars who wish to enter the area. </w:t>
      </w:r>
      <w:r>
        <w:rPr>
          <w:b/>
        </w:rPr>
        <w:t>It is likely more efficient and comfortable for the latter group of individuals, but it is counterproductive because it sidesteps the relationship-building aspect that gives credibility to the involvement of non-Indigenous scholars in Indigenous research</w:t>
      </w:r>
      <w:r>
        <w:t xml:space="preserve">. Recently, the term Co-Principal </w:t>
      </w:r>
      <w:proofErr w:type="spellStart"/>
      <w:r>
        <w:t>Investi</w:t>
      </w:r>
      <w:proofErr w:type="spellEnd"/>
      <w:r>
        <w:t xml:space="preserve">- gator (CPI) has emerged within Indigenous research contexts, where the Indigenous researcher is given the title of CPI. However, in </w:t>
      </w:r>
      <w:proofErr w:type="gramStart"/>
      <w:r>
        <w:t>actual fact</w:t>
      </w:r>
      <w:proofErr w:type="gramEnd"/>
      <w:r>
        <w:t xml:space="preserve"> it is unclear what this </w:t>
      </w:r>
      <w:proofErr w:type="gramStart"/>
      <w:r>
        <w:t>actually means</w:t>
      </w:r>
      <w:proofErr w:type="gramEnd"/>
      <w:r>
        <w:t>. Non-Indigenous researchers need to be involved in this discussion.</w:t>
      </w:r>
    </w:p>
    <w:p w14:paraId="2DA1DB7C" w14:textId="77777777" w:rsidR="00076776" w:rsidRDefault="00076776">
      <w:pPr>
        <w:ind w:left="720"/>
      </w:pPr>
    </w:p>
    <w:p w14:paraId="356DF3EC" w14:textId="77777777" w:rsidR="00076776" w:rsidRDefault="00000000">
      <w:pPr>
        <w:ind w:left="720"/>
        <w:rPr>
          <w:i/>
        </w:rPr>
      </w:pPr>
      <w:r>
        <w:rPr>
          <w:i/>
        </w:rPr>
        <w:t>Do the Relational Work</w:t>
      </w:r>
    </w:p>
    <w:p w14:paraId="56337056" w14:textId="77777777" w:rsidR="00076776" w:rsidRDefault="00000000">
      <w:pPr>
        <w:ind w:left="720"/>
      </w:pPr>
      <w:r>
        <w:t xml:space="preserve">Non-Indigenous scholars who wish to engage with Indigenous knowledges need to connect with Indigenous scholars, people, and communities. … </w:t>
      </w:r>
      <w:r>
        <w:rPr>
          <w:b/>
        </w:rPr>
        <w:t>Those who try to sidestep the relational work will be forever frustrated by Indigenous knowledges, research, and methodologies</w:t>
      </w:r>
      <w:r>
        <w:t>.</w:t>
      </w:r>
    </w:p>
    <w:p w14:paraId="0E6977A6" w14:textId="77777777" w:rsidR="00076776" w:rsidRDefault="00076776"/>
    <w:p w14:paraId="7F1FDE10" w14:textId="77777777" w:rsidR="00076776" w:rsidRDefault="00000000">
      <w:pPr>
        <w:pStyle w:val="Heading2"/>
      </w:pPr>
      <w:r>
        <w:t>Secondary quotes</w:t>
      </w:r>
    </w:p>
    <w:p w14:paraId="049705F3" w14:textId="77777777" w:rsidR="00076776" w:rsidRDefault="00000000">
      <w:r>
        <w:t xml:space="preserve">12 @Para@IK@Acad Conducting and defending this research, and the knowledges that it holds, ensures a level of exposure within academia. Publication of the research, however, would heighten its vulnerability. // </w:t>
      </w:r>
      <w:r>
        <w:rPr>
          <w:b/>
        </w:rPr>
        <w:t xml:space="preserve">Indigenous contributors to this book cite the risks of bringing cultural knowledges into Western research spaces, and I, too, found myself anxious about </w:t>
      </w:r>
      <w:r>
        <w:rPr>
          <w:b/>
        </w:rPr>
        <w:lastRenderedPageBreak/>
        <w:t>the misinterpretations, appropriations, and dismissals that often accompany Indigenous ways of knowing within the academy.</w:t>
      </w:r>
      <w:r>
        <w:t xml:space="preserve"> The transformative potential for academia in welcoming diverse knowledges is significant, but at what cost to Indigenous peoples? / 13 @Arg Research creates policy and policy generates programs. There has been a crisis in Indigenous educational and child welfare policy (among other sites) in this country. Why? Because the research that influences policy and shapes practices that impact Indigenous communities emerges from Western, not Indigenous, knowledges or forms of inquiry. / 14 As contemporary Indigenous thinker Fyre Jean Graveline asserts, we learn in relationship to others, knowing is a process of ‘self-in-relation’ (1998: 52). / 15 list the authors/academics interviewed, and the </w:t>
      </w:r>
      <w:r>
        <w:rPr>
          <w:b/>
        </w:rPr>
        <w:t>structure of the text</w:t>
      </w:r>
      <w:r>
        <w:t xml:space="preserve">: This book takes the form of </w:t>
      </w:r>
      <w:r>
        <w:rPr>
          <w:b/>
        </w:rPr>
        <w:t>three layers or dimensions</w:t>
      </w:r>
      <w:r>
        <w:t xml:space="preserve">: (a) situating self; (b) introduction, context (Chapters 1, 2, 9), and conclusion; and (c) the qualities of Indigenous inquiry (Chapters 3 to 8). / 22 This is a research story. … Although the </w:t>
      </w:r>
      <w:r>
        <w:rPr>
          <w:b/>
        </w:rPr>
        <w:t>narrative style</w:t>
      </w:r>
      <w:r>
        <w:t xml:space="preserve"> is present, the writing often shape- shifts to other forms. … comprising </w:t>
      </w:r>
      <w:r>
        <w:rPr>
          <w:b/>
        </w:rPr>
        <w:t>three writing styles: expository, analytical, and narrative</w:t>
      </w:r>
      <w:r>
        <w:t xml:space="preserve">. / 77 While colonization came to affect every aspect of Indigenous life, </w:t>
      </w:r>
      <w:r>
        <w:rPr>
          <w:b/>
        </w:rPr>
        <w:t>Western science</w:t>
      </w:r>
      <w:r>
        <w:t xml:space="preserve"> </w:t>
      </w:r>
      <w:proofErr w:type="gramStart"/>
      <w:r>
        <w:t>in particular has</w:t>
      </w:r>
      <w:proofErr w:type="gramEnd"/>
      <w:r>
        <w:t xml:space="preserve"> worked to first subjugate and then discredit Indigenous knowledge systems and the people themselves … </w:t>
      </w:r>
      <w:r>
        <w:rPr>
          <w:highlight w:val="magenta"/>
        </w:rPr>
        <w:t>Darwin</w:t>
      </w:r>
      <w:r>
        <w:t xml:space="preserve">’s evolutionary theory…. </w:t>
      </w:r>
      <w:r>
        <w:rPr>
          <w:highlight w:val="magenta"/>
        </w:rPr>
        <w:t>Pam Colorado</w:t>
      </w:r>
      <w:r>
        <w:t xml:space="preserve"> (1988) identifies some </w:t>
      </w:r>
      <w:r>
        <w:rPr>
          <w:b/>
        </w:rPr>
        <w:t>characteristics of the Western scientific paradigm that were in conflict with Indigenous knowing</w:t>
      </w:r>
      <w:r>
        <w:t xml:space="preserve">: </w:t>
      </w:r>
      <w:r>
        <w:rPr>
          <w:b/>
        </w:rPr>
        <w:t>(a) the universe is empty space</w:t>
      </w:r>
      <w:r>
        <w:t xml:space="preserve"> where atoms and particles live autonomously and independently of each other; </w:t>
      </w:r>
      <w:r>
        <w:rPr>
          <w:b/>
        </w:rPr>
        <w:t>(b) the universe is static</w:t>
      </w:r>
      <w:r>
        <w:t xml:space="preserve">, and atoms and particles do not shift or change; </w:t>
      </w:r>
      <w:r>
        <w:rPr>
          <w:b/>
        </w:rPr>
        <w:t>(c) God</w:t>
      </w:r>
      <w:r>
        <w:t xml:space="preserve">, through Newtonian physics, </w:t>
      </w:r>
      <w:r>
        <w:rPr>
          <w:b/>
        </w:rPr>
        <w:t>no longer has a role</w:t>
      </w:r>
      <w:r>
        <w:t xml:space="preserve"> in the cause and effect of the universe</w:t>
      </w:r>
      <w:r>
        <w:rPr>
          <w:b/>
        </w:rPr>
        <w:t>; (d) prophecy or greater purpose does not exist</w:t>
      </w:r>
      <w:r>
        <w:t xml:space="preserve">, life is simply a cause and effect mechanistic dynamic; and </w:t>
      </w:r>
      <w:r>
        <w:rPr>
          <w:b/>
        </w:rPr>
        <w:t>(e) all energy patterns can be measured</w:t>
      </w:r>
      <w:r>
        <w:t xml:space="preserve"> and accounted for by human intellect, hence humans are all-knowing. Because Indigenous people did not separate reason and spirit, and because they did not espouse an evolutionist theoretical perspective, their beliefs have been viewed as superstitions (Deloria, 2002). [78] @Reason </w:t>
      </w:r>
      <w:r>
        <w:rPr>
          <w:b/>
        </w:rPr>
        <w:t>Traditional Western science</w:t>
      </w:r>
      <w:r>
        <w:t>, based on a rationalist, secular paradigm, discounts the possibility that knowledge arises from happenings that cannot be explained through reductionist means (</w:t>
      </w:r>
      <w:r>
        <w:rPr>
          <w:highlight w:val="magenta"/>
        </w:rPr>
        <w:t>Atleo</w:t>
      </w:r>
      <w:r>
        <w:t xml:space="preserve">, 2004; Deloria and Wildcat, 2001). / 86 @LitThe@Poco Non-Indigenous critical theorists are strong allies for Indigenous methodologies. / 157 The strongest </w:t>
      </w:r>
      <w:r>
        <w:rPr>
          <w:b/>
        </w:rPr>
        <w:t>potential for fresh discourse</w:t>
      </w:r>
      <w:r>
        <w:t xml:space="preserve"> rests with the ability of invested non-Indigenous academics to listen attentively to not only what diminishes Indigenous research scholarship, but also to what helps. Furthermore, a new non-homogeneous academic land- scape asks that it not simply listen </w:t>
      </w:r>
      <w:proofErr w:type="gramStart"/>
      <w:r>
        <w:t>anew, but</w:t>
      </w:r>
      <w:proofErr w:type="gramEnd"/>
      <w:r>
        <w:t xml:space="preserve"> listen differently to what is being said. For Indigenous academics, there is a responsibility to not submerge identity under the weight of a worldview that is not our own. It is the courage to keep on swimming. / 159 on what the RP did [@OralEx]: </w:t>
      </w:r>
      <w:r>
        <w:rPr>
          <w:b/>
        </w:rPr>
        <w:t>The Royal Proclamation of 1763</w:t>
      </w:r>
      <w:r>
        <w:t xml:space="preserve"> set out the terms of engagement for settlement, decreeing that prior to settlement the Crown must enter into treaty agreements with the Indigenous habitants of this territory. The Proclamation signified the special relationship between the Crown and Indigenous nations, resulting in a series of treaty agreements. … it was not until 1870 that the historic numbered treaties were negotiated. Within these treaty agreements, </w:t>
      </w:r>
      <w:r>
        <w:rPr>
          <w:b/>
        </w:rPr>
        <w:t>educational consideration was paramount to Indian people</w:t>
      </w:r>
      <w:r>
        <w:t xml:space="preserve"> and the frequency with which schooling is mentioned is evidence of this foresight (Barman, Hébert, and McCaskill, 1986). … Treaties One to Seven … The British North American Act of 1867 … Indian Act of 1876 became the instrument for regulating the relationship between the federal government and status Indian people, and it remains in force today. </w:t>
      </w:r>
      <w:r>
        <w:rPr>
          <w:b/>
        </w:rPr>
        <w:t>Educational policy and programming for status Indians flow from the Indian Act.</w:t>
      </w:r>
      <w:r>
        <w:t xml:space="preserve"> / </w:t>
      </w:r>
      <w:r>
        <w:rPr>
          <w:b/>
          <w:highlight w:val="green"/>
        </w:rPr>
        <w:t>See pp. 159-162 for educational background and Canada’s policies and acts related to Indigenous education</w:t>
      </w:r>
      <w:r>
        <w:t xml:space="preserve">. 159 Preparing </w:t>
      </w:r>
      <w:r>
        <w:lastRenderedPageBreak/>
        <w:t xml:space="preserve">Indian students for returning to their community meant curricula that </w:t>
      </w:r>
      <w:r>
        <w:rPr>
          <w:b/>
        </w:rPr>
        <w:t>emphasized vocational studies and de-emphasized academic</w:t>
      </w:r>
      <w:r>
        <w:t xml:space="preserve"> </w:t>
      </w:r>
      <w:r>
        <w:rPr>
          <w:b/>
        </w:rPr>
        <w:t>training</w:t>
      </w:r>
      <w:r>
        <w:t xml:space="preserve">, a transparent policy of maintaining the socioeconomic marginalization of Indigenous peoples. / 163 </w:t>
      </w:r>
      <w:r>
        <w:rPr>
          <w:b/>
        </w:rPr>
        <w:t>Welcoming Indigenous students but not allowing for learning, scholarship, and research that is congruent with Indigenous paradigms is simply a nuanced variation of a past strategy – same old, same old</w:t>
      </w:r>
      <w:r>
        <w:t>. // For Indigenous people, the push back has always been over the preservation of our culture.</w:t>
      </w:r>
    </w:p>
    <w:p w14:paraId="30CBF19A" w14:textId="77777777" w:rsidR="00076776" w:rsidRDefault="00076776"/>
    <w:p w14:paraId="1B006EE0" w14:textId="77777777" w:rsidR="00076776" w:rsidRDefault="00000000">
      <w:pPr>
        <w:pStyle w:val="Heading2"/>
      </w:pPr>
      <w:r>
        <w:t>Notes</w:t>
      </w:r>
    </w:p>
    <w:p w14:paraId="7AAA3740" w14:textId="77777777" w:rsidR="00076776" w:rsidRDefault="00000000">
      <w:pPr>
        <w:rPr>
          <w:highlight w:val="green"/>
        </w:rPr>
      </w:pPr>
      <w:r>
        <w:rPr>
          <w:highlight w:val="green"/>
        </w:rPr>
        <w:t>22 @Diss@UL@IK@Knote@Motherlode!</w:t>
      </w:r>
    </w:p>
    <w:p w14:paraId="6F169512" w14:textId="77777777" w:rsidR="00076776" w:rsidRDefault="00000000">
      <w:r>
        <w:t xml:space="preserve">Could be a good way to approach my future writing? Particularly, the </w:t>
      </w:r>
      <w:r>
        <w:rPr>
          <w:i/>
        </w:rPr>
        <w:t>practice-as-research</w:t>
      </w:r>
      <w:r>
        <w:t xml:space="preserve"> element: </w:t>
      </w:r>
    </w:p>
    <w:p w14:paraId="5061D949" w14:textId="77777777" w:rsidR="00076776" w:rsidRDefault="00000000">
      <w:pPr>
        <w:ind w:left="720"/>
      </w:pPr>
      <w:r>
        <w:t xml:space="preserve">This is a research story. … Although the </w:t>
      </w:r>
      <w:r>
        <w:rPr>
          <w:b/>
        </w:rPr>
        <w:t>narrative style</w:t>
      </w:r>
      <w:r>
        <w:t xml:space="preserve"> is present, the writing often shapeshifts to other forms. … comprising </w:t>
      </w:r>
      <w:r>
        <w:rPr>
          <w:b/>
        </w:rPr>
        <w:t>three writing styles: expository, analytical, and narrative</w:t>
      </w:r>
      <w:r>
        <w:t>.</w:t>
      </w:r>
    </w:p>
    <w:p w14:paraId="54D9A833" w14:textId="77777777" w:rsidR="00076776" w:rsidRDefault="00076776"/>
    <w:p w14:paraId="3D168ED5" w14:textId="77777777" w:rsidR="00076776" w:rsidRDefault="00000000">
      <w:r>
        <w:t xml:space="preserve">See page 15, also: </w:t>
      </w:r>
    </w:p>
    <w:p w14:paraId="25726735" w14:textId="77777777" w:rsidR="00076776" w:rsidRDefault="00000000">
      <w:pPr>
        <w:ind w:left="720"/>
      </w:pPr>
      <w:r>
        <w:rPr>
          <w:b/>
        </w:rPr>
        <w:t>This book takes the form of</w:t>
      </w:r>
      <w:r>
        <w:t xml:space="preserve"> </w:t>
      </w:r>
      <w:r>
        <w:rPr>
          <w:b/>
        </w:rPr>
        <w:t>three layers or dimensions</w:t>
      </w:r>
      <w:r>
        <w:t>: (a) situating self; (b) introduction, context (Chapters 1, 2, 9), and conclusion; and (c) the qualities of Indigenous inquiry (Chapters 3 to 8).</w:t>
      </w:r>
      <w:r>
        <w:tab/>
      </w:r>
    </w:p>
    <w:p w14:paraId="30EE3053" w14:textId="77777777" w:rsidR="00076776" w:rsidRDefault="00076776"/>
    <w:p w14:paraId="3CC0B259" w14:textId="77777777" w:rsidR="00076776" w:rsidRDefault="00000000">
      <w:r>
        <w:t>87 @DissSource@UL@FFessay</w:t>
      </w:r>
    </w:p>
    <w:p w14:paraId="4786E423" w14:textId="77777777" w:rsidR="00076776" w:rsidRDefault="00000000">
      <w:r>
        <w:t>Lookup “</w:t>
      </w:r>
      <w:proofErr w:type="spellStart"/>
      <w:r>
        <w:t>Maori</w:t>
      </w:r>
      <w:proofErr w:type="spellEnd"/>
      <w:r>
        <w:t xml:space="preserve"> scholar and educator </w:t>
      </w:r>
      <w:r>
        <w:rPr>
          <w:highlight w:val="magenta"/>
        </w:rPr>
        <w:t>Graham Hingangaroa Smith</w:t>
      </w:r>
      <w:r>
        <w:t xml:space="preserve"> on Indigenous research frameworks and decolonizing the academy.” He has some good things to say:</w:t>
      </w:r>
    </w:p>
    <w:p w14:paraId="1CEAEA75" w14:textId="77777777" w:rsidR="00076776" w:rsidRDefault="00076776"/>
    <w:p w14:paraId="7B3158E0" w14:textId="77777777" w:rsidR="00076776" w:rsidRDefault="00000000">
      <w:pPr>
        <w:ind w:left="720"/>
      </w:pPr>
      <w:r>
        <w:t xml:space="preserve">[89] Fundamentally, we are contesting at the level of knowledge, but we are also contesting a history of colonization and colonizing processes. </w:t>
      </w:r>
      <w:r>
        <w:rPr>
          <w:b/>
        </w:rPr>
        <w:t>If you understand schooling and education as ‘selection of knowledge’</w:t>
      </w:r>
      <w:r>
        <w:t xml:space="preserve"> that is taught in institutions, and that dominant cultural groups can determine what knowledge is selected to be taught, then you will understand how schooling and education become sites for colonization and assimilation. The interests of the dominant white society at the university </w:t>
      </w:r>
      <w:proofErr w:type="gramStart"/>
      <w:r>
        <w:t>are able to</w:t>
      </w:r>
      <w:proofErr w:type="gramEnd"/>
      <w:r>
        <w:t xml:space="preserve"> be reproduced within the structures of social, political, and economic dominance, and so forth. </w:t>
      </w:r>
      <w:proofErr w:type="gramStart"/>
      <w:r>
        <w:t>In order to</w:t>
      </w:r>
      <w:proofErr w:type="gramEnd"/>
      <w:r>
        <w:t xml:space="preserve"> overcome Indigenous complicity in the reproduction of white social, economic, and political privilege, Indigenous academics need a philosophy that allows us to engage within the academy, within the ambit of what I call </w:t>
      </w:r>
      <w:r>
        <w:rPr>
          <w:highlight w:val="green"/>
        </w:rPr>
        <w:t>‘the politics of truth.’</w:t>
      </w:r>
      <w:r>
        <w:t xml:space="preserve"> … [91] The example of </w:t>
      </w:r>
      <w:r>
        <w:rPr>
          <w:highlight w:val="magenta"/>
        </w:rPr>
        <w:t>Gramsci</w:t>
      </w:r>
      <w:r>
        <w:t>’s ‘</w:t>
      </w:r>
      <w:r>
        <w:rPr>
          <w:b/>
        </w:rPr>
        <w:t>hegemony’</w:t>
      </w:r>
      <w:r>
        <w:t xml:space="preserve"> helps me clarify this point here. The critical notion of hegemony is a great tool for understanding how Indigenous peoples become complicit in forming their own oppression and exploitation. It helps us to </w:t>
      </w:r>
      <w:r>
        <w:rPr>
          <w:b/>
        </w:rPr>
        <w:t>understand how common sense itself can become co-opted</w:t>
      </w:r>
      <w:r>
        <w:t>.</w:t>
      </w:r>
    </w:p>
    <w:p w14:paraId="2F2B896E" w14:textId="77777777" w:rsidR="00076776" w:rsidRDefault="00000000">
      <w:pPr>
        <w:pStyle w:val="Heading1"/>
      </w:pPr>
      <w:bookmarkStart w:id="10" w:name="_heading=h.2s8eyo1" w:colFirst="0" w:colLast="0"/>
      <w:bookmarkEnd w:id="10"/>
      <w:r>
        <w:t xml:space="preserve">(2012) Smith, </w:t>
      </w:r>
      <w:r>
        <w:rPr>
          <w:i/>
        </w:rPr>
        <w:t>Decolonizing Methodologies: Research and Indigenous Peoples</w:t>
      </w:r>
    </w:p>
    <w:p w14:paraId="344404C6" w14:textId="77777777" w:rsidR="00076776" w:rsidRDefault="00076776"/>
    <w:p w14:paraId="3077E22B" w14:textId="77777777" w:rsidR="00076776" w:rsidRDefault="00000000">
      <w:pPr>
        <w:pStyle w:val="Heading2"/>
      </w:pPr>
      <w:r>
        <w:t>Abstract</w:t>
      </w:r>
    </w:p>
    <w:p w14:paraId="022C54FB" w14:textId="77777777" w:rsidR="00076776" w:rsidRDefault="00000000">
      <w:r>
        <w:t xml:space="preserve">A vital and touchstone text on all </w:t>
      </w:r>
      <w:proofErr w:type="gramStart"/>
      <w:r>
        <w:t>things</w:t>
      </w:r>
      <w:proofErr w:type="gramEnd"/>
      <w:r>
        <w:t xml:space="preserve"> decolonization, mostly from a </w:t>
      </w:r>
      <w:proofErr w:type="spellStart"/>
      <w:r>
        <w:t>Maori</w:t>
      </w:r>
      <w:proofErr w:type="spellEnd"/>
      <w:r>
        <w:t xml:space="preserve"> perspective. </w:t>
      </w:r>
    </w:p>
    <w:p w14:paraId="79C4CDFD" w14:textId="77777777" w:rsidR="00076776" w:rsidRDefault="00076776"/>
    <w:p w14:paraId="0E1F5495" w14:textId="77777777" w:rsidR="00076776" w:rsidRDefault="00000000">
      <w:pPr>
        <w:pStyle w:val="Heading2"/>
      </w:pPr>
      <w:r>
        <w:t>Key words</w:t>
      </w:r>
    </w:p>
    <w:p w14:paraId="62FC914C" w14:textId="77777777" w:rsidR="00076776" w:rsidRDefault="00000000">
      <w:r>
        <w:t>Decolonization, Indigenous methodologies, anti-Imperialism, critical pedagogy, history, settler state</w:t>
      </w:r>
    </w:p>
    <w:p w14:paraId="0E5F0128" w14:textId="77777777" w:rsidR="00076776" w:rsidRDefault="00076776"/>
    <w:p w14:paraId="6DBC0843" w14:textId="77777777" w:rsidR="00076776" w:rsidRDefault="00000000">
      <w:pPr>
        <w:pStyle w:val="Heading2"/>
      </w:pPr>
      <w:r>
        <w:t>Essential quote</w:t>
      </w:r>
    </w:p>
    <w:p w14:paraId="6195DD09" w14:textId="77777777" w:rsidR="00076776" w:rsidRDefault="00000000">
      <w:r>
        <w:t>204: Decolonization must offer a language of possibility, a way out of colonialism.</w:t>
      </w:r>
    </w:p>
    <w:p w14:paraId="4D4D9549" w14:textId="77777777" w:rsidR="00076776" w:rsidRDefault="00076776"/>
    <w:p w14:paraId="3464E464" w14:textId="77777777" w:rsidR="00076776" w:rsidRDefault="00000000">
      <w:pPr>
        <w:pStyle w:val="Heading2"/>
      </w:pPr>
      <w:r>
        <w:t>Terms</w:t>
      </w:r>
    </w:p>
    <w:p w14:paraId="1D9AA620" w14:textId="77777777" w:rsidR="00076776" w:rsidRDefault="00000000">
      <w:r>
        <w:t xml:space="preserve">2 </w:t>
      </w:r>
      <w:r>
        <w:rPr>
          <w:b/>
        </w:rPr>
        <w:t>the Other</w:t>
      </w:r>
      <w:r>
        <w:t xml:space="preserve">: This book identifies research as a significant site of struggle between the interests and ways of knowing of the West and the interests and ways of resisting of the Other. In this example, the Other has been constituted with a name, a face, a particular identity, namely </w:t>
      </w:r>
      <w:r>
        <w:rPr>
          <w:i/>
        </w:rPr>
        <w:t>indigenous peoples</w:t>
      </w:r>
      <w:r>
        <w:t>. Edward Said refers to this process as a Western discourse about the Other which is supported by ‘institutions, vocabulary, scholarship, imagery, doctrines, even colonial bureaucracies and colonial styles’.</w:t>
      </w:r>
      <w:r>
        <w:rPr>
          <w:vertAlign w:val="superscript"/>
        </w:rPr>
        <w:t>2</w:t>
      </w:r>
    </w:p>
    <w:p w14:paraId="50E3CC47" w14:textId="77777777" w:rsidR="00076776" w:rsidRDefault="00000000">
      <w:r>
        <w:rPr>
          <w:highlight w:val="green"/>
        </w:rPr>
        <w:t xml:space="preserve">2 </w:t>
      </w:r>
      <w:r>
        <w:rPr>
          <w:b/>
          <w:highlight w:val="green"/>
        </w:rPr>
        <w:t>counter-stories</w:t>
      </w:r>
      <w:r>
        <w:t xml:space="preserve">: [@FFessay@KTerm: </w:t>
      </w:r>
      <w:proofErr w:type="spellStart"/>
      <w:r>
        <w:t>contracolonial</w:t>
      </w:r>
      <w:proofErr w:type="spellEnd"/>
      <w:r>
        <w:t xml:space="preserve"> readings] Indigenous peoples across the world have other stories to tell which not only question the assumed nature of those ideals and the practices that they </w:t>
      </w:r>
      <w:proofErr w:type="gramStart"/>
      <w:r>
        <w:t>generate, but</w:t>
      </w:r>
      <w:proofErr w:type="gramEnd"/>
      <w:r>
        <w:t xml:space="preserve"> also serve to tell an alternative story: the history of Western research through the eyes of the colonized. These counter-stories are powerful forms of resistance which are repeated and shared across diverse indigenous communities.</w:t>
      </w:r>
    </w:p>
    <w:p w14:paraId="4E20918A" w14:textId="77777777" w:rsidR="00076776" w:rsidRDefault="00000000">
      <w:r>
        <w:t xml:space="preserve">3 </w:t>
      </w:r>
      <w:r>
        <w:rPr>
          <w:b/>
        </w:rPr>
        <w:t>researchers</w:t>
      </w:r>
      <w:r>
        <w:t xml:space="preserve"> (the human carriers of research) … </w:t>
      </w:r>
    </w:p>
    <w:p w14:paraId="527C3B7D" w14:textId="77777777" w:rsidR="00076776" w:rsidRDefault="00000000">
      <w:r>
        <w:t xml:space="preserve">3 </w:t>
      </w:r>
      <w:r>
        <w:rPr>
          <w:b/>
        </w:rPr>
        <w:t xml:space="preserve">decolonizing </w:t>
      </w:r>
      <w:proofErr w:type="gramStart"/>
      <w:r>
        <w:rPr>
          <w:b/>
        </w:rPr>
        <w:t>framework</w:t>
      </w:r>
      <w:proofErr w:type="gramEnd"/>
      <w:r>
        <w:t xml:space="preserve">: In a decolonizing framework deconstruction is part of a much larger intent. Taking apart the story, revealing underlying texts, and giving voice to things that are often known intuitively does not help people to improve their current conditions. It provides words, perhaps, an insight that explains certain experiences – but </w:t>
      </w:r>
      <w:r>
        <w:rPr>
          <w:b/>
        </w:rPr>
        <w:t>it does not prevent someone from dying</w:t>
      </w:r>
      <w:r>
        <w:t>.</w:t>
      </w:r>
    </w:p>
    <w:p w14:paraId="03031AE2" w14:textId="77777777" w:rsidR="00076776" w:rsidRDefault="00000000">
      <w:r>
        <w:t xml:space="preserve">6 </w:t>
      </w:r>
      <w:r>
        <w:rPr>
          <w:b/>
        </w:rPr>
        <w:t>Indigenous</w:t>
      </w:r>
      <w:r>
        <w:t>: The term ‘indigenous’ is problematic in that it appears to collectivize many distinct populations whose experiences under imperialism have been vastly different. Other collective terms also in use refer to ‘First Peoples’ or ‘Native Peoples’, ‘First Nations’ or ‘People of the Land’, ‘Aboriginals’ or ‘Fourth World Peoples’. 6 Some groups prefer the labels that connect us to Mother Earth, and to deeply significant spiritual relationships. While not denying the powerful world views embedded in such terms, within my own cultural framework as within others, they are not the terms that will be used here. A recent phenomenon which partly explains such a position is the Western fascination with New Age spiritual meanings which makes our own belief systems available, yet again, for further mining and exploitation. … [7] It has been coopted politically by the descendants of settlers who lay claim to an ‘indigenous’ identity through their occupation and settlement of land over several generations or simply through being born in that place – though they tend not to show up at indigenous peoples’ meetings nor form alliances that support the self-determination of the people whose forebears once occupied the land that they have ‘tamed’ and upon which they have settled. Nor do they actively struggle as a society for the survival of indigenous languages, knowledges and cultures. … Their power, their privilege, their history are all vested in their legacy as colonizers.</w:t>
      </w:r>
    </w:p>
    <w:p w14:paraId="292AF5DE" w14:textId="77777777" w:rsidR="00076776" w:rsidRDefault="00000000">
      <w:r>
        <w:t xml:space="preserve">8 </w:t>
      </w:r>
      <w:r>
        <w:rPr>
          <w:b/>
        </w:rPr>
        <w:t>researching back</w:t>
      </w:r>
      <w:r>
        <w:t>: Part of the project of this book is ‘researching back’, in the same tradition of ‘writing back’ or ‘talking back’, that characterizes much of the post-colonial or anti-colonial literature.</w:t>
      </w:r>
      <w:r>
        <w:rPr>
          <w:vertAlign w:val="superscript"/>
        </w:rPr>
        <w:t>10</w:t>
      </w:r>
    </w:p>
    <w:p w14:paraId="70270E1B" w14:textId="77777777" w:rsidR="00076776" w:rsidRDefault="00000000">
      <w:r>
        <w:lastRenderedPageBreak/>
        <w:t xml:space="preserve">14 </w:t>
      </w:r>
      <w:r>
        <w:rPr>
          <w:b/>
        </w:rPr>
        <w:t>post-</w:t>
      </w:r>
      <w:proofErr w:type="gramStart"/>
      <w:r>
        <w:rPr>
          <w:b/>
        </w:rPr>
        <w:t>colonialism</w:t>
      </w:r>
      <w:proofErr w:type="gramEnd"/>
      <w:r>
        <w:t xml:space="preserve">: [@Poco@DECOL] Many indigenous intellectuals actively resist participating in any discussion within the discourses of post-coloniality. This is because post-colonialism is viewed as the convenient invention of Western intellectuals which reinscribes their power to define the world. For each indigenous intellectual who </w:t>
      </w:r>
      <w:proofErr w:type="gramStart"/>
      <w:r>
        <w:t>actually succeeds</w:t>
      </w:r>
      <w:proofErr w:type="gramEnd"/>
      <w:r>
        <w:t xml:space="preserve"> in the academy, however – and we are talking relatively small numbers – there is a whole array of issues about the ways we relate inside and outside of our own communities, inside and outside the academy, and between all those different worlds.</w:t>
      </w:r>
    </w:p>
    <w:p w14:paraId="25550517" w14:textId="77777777" w:rsidR="00076776" w:rsidRDefault="00000000">
      <w:r>
        <w:t xml:space="preserve">17 </w:t>
      </w:r>
      <w:r>
        <w:rPr>
          <w:b/>
        </w:rPr>
        <w:t>methodologies</w:t>
      </w:r>
      <w:r>
        <w:t xml:space="preserve">: They search and record, they select and interpret, they organize and re-present, they make claims </w:t>
      </w:r>
      <w:proofErr w:type="gramStart"/>
      <w:r>
        <w:t>on the basis of</w:t>
      </w:r>
      <w:proofErr w:type="gramEnd"/>
      <w:r>
        <w:t xml:space="preserve"> what they assemble. This is research. The processes they use can also be called methodologies. The specific tools they use to gain information can also be called methods. Everything they are trying to do is informed by a theory, regardless of whether they can talk about that theory explicitly.</w:t>
      </w:r>
    </w:p>
    <w:p w14:paraId="49B110C2" w14:textId="77777777" w:rsidR="00076776" w:rsidRDefault="00000000">
      <w:r>
        <w:t xml:space="preserve">21 </w:t>
      </w:r>
      <w:r>
        <w:rPr>
          <w:b/>
        </w:rPr>
        <w:t>Decolonization</w:t>
      </w:r>
      <w:r>
        <w:t xml:space="preserve"> is a process which engages with imperialism and colonialism at multiple levels. For researchers, one of those levels is concerned with having a more critical understanding of the underlying assumptions, motivations and values which inform research practices. [28] Fanon argues further that ‘Decolonization which sets out to change the order of the world is, obviously, a programme of complete disorder.’</w:t>
      </w:r>
      <w:r>
        <w:rPr>
          <w:vertAlign w:val="superscript"/>
        </w:rPr>
        <w:t>13</w:t>
      </w:r>
      <w:r>
        <w:t xml:space="preserve"> This introduces another important principle embedded in imperialism, that of order. [41] </w:t>
      </w:r>
      <w:r>
        <w:rPr>
          <w:b/>
        </w:rPr>
        <w:t>Decolonization</w:t>
      </w:r>
      <w:r>
        <w:t xml:space="preserve">, however, does not mean and has not meant a total rejection of all theory or research or Western knowledge. Rather, it is about centring our concerns and world views and then coming to know and understand theory and research from our own perspectives and for our own purposes. [47] This means, for example, that colonized peoples share a language of colonization, share knowledge about their colonizers, and, in terms of a political project, share the same struggle for decolonization. It also means that </w:t>
      </w:r>
      <w:r>
        <w:rPr>
          <w:b/>
        </w:rPr>
        <w:t>colonizers, too, share a language and knowledge of colonization</w:t>
      </w:r>
      <w:r>
        <w:t>. [101] Decolonization, once viewed as the formal process of handing over the instruments of government, is now recognized as a long-term process involving the bureaucratic, cultural, linguistic and psychological divesting of colonial power. [111] … the ‘decolonization of the mind’ strategies …. [120] The four directions named here – decolonization, healing, transformation and mobilization – represent processes. They are not goals or ends in themselves. They are processes which connect, inform and clarify the tensions between the local, the regional and the global. [</w:t>
      </w:r>
      <w:r>
        <w:rPr>
          <w:highlight w:val="red"/>
        </w:rPr>
        <w:t>See image on 121</w:t>
      </w:r>
      <w:r>
        <w:t xml:space="preserve">] </w:t>
      </w:r>
    </w:p>
    <w:p w14:paraId="28DCAE4E" w14:textId="77777777" w:rsidR="00076776" w:rsidRDefault="00000000">
      <w:r>
        <w:t xml:space="preserve">33 </w:t>
      </w:r>
      <w:r>
        <w:rPr>
          <w:b/>
        </w:rPr>
        <w:t xml:space="preserve">The Enlightenment project </w:t>
      </w:r>
      <w:r>
        <w:t>involved new conceptions of society and of the individual based around the precepts of rationalism, individualism and capitalism. There was a general belief that not only could individuals remake themselves but so could societies.</w:t>
      </w:r>
    </w:p>
    <w:p w14:paraId="3517B948" w14:textId="77777777" w:rsidR="00076776" w:rsidRDefault="00000000">
      <w:r>
        <w:t xml:space="preserve">36 </w:t>
      </w:r>
      <w:r>
        <w:rPr>
          <w:b/>
        </w:rPr>
        <w:t>Coming to know the past</w:t>
      </w:r>
      <w:r>
        <w:t xml:space="preserve"> has been part of the critical pedagogy of </w:t>
      </w:r>
      <w:r>
        <w:rPr>
          <w:b/>
        </w:rPr>
        <w:t>decolonization</w:t>
      </w:r>
      <w:r>
        <w:t>. To hold alternative histories is to hold alternative knowledges. The pedagogical implication of this access to alternative knowledges is that they can form the basis of alternative ways of doing things. Transforming our colonized views of our own history (as written by the West), however, requires us to revisit, site by site, our history under Western eyes.</w:t>
      </w:r>
    </w:p>
    <w:p w14:paraId="6A2BDBEA" w14:textId="77777777" w:rsidR="00076776" w:rsidRDefault="00000000">
      <w:r>
        <w:rPr>
          <w:highlight w:val="green"/>
        </w:rPr>
        <w:t xml:space="preserve">44-45 </w:t>
      </w:r>
      <w:r>
        <w:rPr>
          <w:b/>
          <w:highlight w:val="green"/>
        </w:rPr>
        <w:t>Western system of knowledge</w:t>
      </w:r>
      <w:r>
        <w:rPr>
          <w:highlight w:val="green"/>
        </w:rPr>
        <w:t>: [@</w:t>
      </w:r>
      <w:proofErr w:type="gramStart"/>
      <w:r>
        <w:rPr>
          <w:highlight w:val="green"/>
        </w:rPr>
        <w:t>Motherlode!@</w:t>
      </w:r>
      <w:proofErr w:type="gramEnd"/>
      <w:r>
        <w:rPr>
          <w:highlight w:val="green"/>
        </w:rPr>
        <w:t>SettPsych@</w:t>
      </w:r>
      <w:proofErr w:type="gramStart"/>
      <w:r>
        <w:rPr>
          <w:highlight w:val="green"/>
        </w:rPr>
        <w:t>Diss?@</w:t>
      </w:r>
      <w:proofErr w:type="gramEnd"/>
      <w:r>
        <w:rPr>
          <w:highlight w:val="green"/>
        </w:rPr>
        <w:t>FFessay]</w:t>
      </w:r>
      <w:r>
        <w:t xml:space="preserve"> In this chapter [2] I argue that what counts as Western research draws from an ‘archive’ of knowledge and systems, rules and values which stretch beyond the boundaries of Western science to the system now referred to as the West. Stuart Hall makes the point that the West is an idea or concept, a language for imagining a set of complex stories, ideas, historical events and social relationships. Hall suggests that the concept of the West functions in ways which (1) allow ‘us’ to characterize and </w:t>
      </w:r>
      <w:r>
        <w:rPr>
          <w:i/>
        </w:rPr>
        <w:t>classify</w:t>
      </w:r>
      <w:r>
        <w:t xml:space="preserve"> societies into categories, (2) condense complex images of other societies through a </w:t>
      </w:r>
      <w:r>
        <w:rPr>
          <w:i/>
        </w:rPr>
        <w:t>system of representation</w:t>
      </w:r>
      <w:r>
        <w:t xml:space="preserve">, (3) provide a standard </w:t>
      </w:r>
      <w:r>
        <w:rPr>
          <w:i/>
        </w:rPr>
        <w:t>model of comparison</w:t>
      </w:r>
      <w:r>
        <w:t xml:space="preserve">, and (4) </w:t>
      </w:r>
      <w:r>
        <w:lastRenderedPageBreak/>
        <w:t xml:space="preserve">provide </w:t>
      </w:r>
      <w:r>
        <w:rPr>
          <w:i/>
        </w:rPr>
        <w:t>criteria of evaluation</w:t>
      </w:r>
      <w:r>
        <w:t xml:space="preserve"> against which other societies can be ranked.1 These are the procedures by which indigenous peoples and their societies were coded into the Western system of knowledge. // Research contributed to, and drew from, these systems of classification, representation and evaluation.</w:t>
      </w:r>
    </w:p>
    <w:p w14:paraId="2FA09B44" w14:textId="77777777" w:rsidR="00076776" w:rsidRDefault="00000000">
      <w:r>
        <w:t>61 Said’s notion of ‘</w:t>
      </w:r>
      <w:r>
        <w:rPr>
          <w:b/>
        </w:rPr>
        <w:t>positional superiority</w:t>
      </w:r>
      <w:r>
        <w:t xml:space="preserve">’… </w:t>
      </w:r>
    </w:p>
    <w:p w14:paraId="3F7151D3" w14:textId="77777777" w:rsidR="00076776" w:rsidRDefault="00076776"/>
    <w:p w14:paraId="795CE87C" w14:textId="77777777" w:rsidR="00076776" w:rsidRDefault="00000000">
      <w:pPr>
        <w:pStyle w:val="Heading2"/>
      </w:pPr>
      <w:r>
        <w:t>Core quotes</w:t>
      </w:r>
    </w:p>
    <w:p w14:paraId="7C4FDF45" w14:textId="77777777" w:rsidR="00076776" w:rsidRDefault="00000000">
      <w:pPr>
        <w:pStyle w:val="Heading4"/>
      </w:pPr>
      <w:r>
        <w:t>Chapter 1: Imperialism, History, Writing and Theory</w:t>
      </w:r>
    </w:p>
    <w:p w14:paraId="1F354E6F" w14:textId="77777777" w:rsidR="00076776" w:rsidRDefault="00000000">
      <w:r>
        <w:t xml:space="preserve">20: In this chapter the intention is to discuss and contextualize four concepts which are often present (though not necessarily clearly visible) in the ways in which the ideas of indigenous peoples are articulated: imperialism, history, writing, and theory. </w:t>
      </w:r>
    </w:p>
    <w:p w14:paraId="5B0EAF3F" w14:textId="77777777" w:rsidR="00076776" w:rsidRDefault="00076776"/>
    <w:p w14:paraId="5D65E332" w14:textId="77777777" w:rsidR="00076776" w:rsidRDefault="00000000">
      <w:r>
        <w:t>Emphasis on this section: “Is History Important for Indigenous Peoples?” (30)</w:t>
      </w:r>
    </w:p>
    <w:p w14:paraId="28C9D0CE" w14:textId="77777777" w:rsidR="00076776" w:rsidRDefault="00076776"/>
    <w:p w14:paraId="615C27EE" w14:textId="77777777" w:rsidR="00076776" w:rsidRDefault="00000000">
      <w:r>
        <w:t>31 @Hist@IndHist@LitThe</w:t>
      </w:r>
    </w:p>
    <w:p w14:paraId="2774BF09" w14:textId="77777777" w:rsidR="00076776" w:rsidRDefault="00000000">
      <w:pPr>
        <w:ind w:left="720"/>
      </w:pPr>
      <w:r>
        <w:t xml:space="preserve">The critique of Western history argues that history is a modernist project which has developed alongside imperial beliefs about the Other. [Italics in original] </w:t>
      </w:r>
    </w:p>
    <w:p w14:paraId="44D1937C" w14:textId="77777777" w:rsidR="00076776" w:rsidRDefault="00076776">
      <w:pPr>
        <w:ind w:left="720"/>
      </w:pPr>
    </w:p>
    <w:p w14:paraId="3713E65F" w14:textId="77777777" w:rsidR="00076776" w:rsidRDefault="00000000">
      <w:pPr>
        <w:ind w:left="720"/>
      </w:pPr>
      <w:r>
        <w:t xml:space="preserve">1 The idea that history is a totalizing discourse… </w:t>
      </w:r>
      <w:r>
        <w:rPr>
          <w:i/>
        </w:rPr>
        <w:t>2 The idea that there is a universal history</w:t>
      </w:r>
      <w:r>
        <w:t xml:space="preserve"> … </w:t>
      </w:r>
      <w:r>
        <w:rPr>
          <w:i/>
        </w:rPr>
        <w:t>3 The idea that history is one large chronology</w:t>
      </w:r>
      <w:r>
        <w:t xml:space="preserve"> … </w:t>
      </w:r>
      <w:r>
        <w:rPr>
          <w:i/>
        </w:rPr>
        <w:t>4 The idea that history is about development</w:t>
      </w:r>
      <w:r>
        <w:t xml:space="preserve"> … </w:t>
      </w:r>
      <w:r>
        <w:rPr>
          <w:i/>
        </w:rPr>
        <w:t>5 The idea that history is about a self-actualizing human subject</w:t>
      </w:r>
    </w:p>
    <w:p w14:paraId="11799AB0" w14:textId="77777777" w:rsidR="00076776" w:rsidRDefault="00000000">
      <w:pPr>
        <w:ind w:left="720"/>
      </w:pPr>
      <w:r>
        <w:t xml:space="preserve">… </w:t>
      </w:r>
      <w:r>
        <w:rPr>
          <w:i/>
        </w:rPr>
        <w:t>6 The idea that the story of history can be told in one coherent narrative</w:t>
      </w:r>
    </w:p>
    <w:p w14:paraId="0130130E" w14:textId="77777777" w:rsidR="00076776" w:rsidRDefault="00000000">
      <w:pPr>
        <w:ind w:left="720"/>
      </w:pPr>
      <w:r>
        <w:t>This idea suggests that we can assemble all the facts in an ordered way so that they tell us the truth or give us a very good idea of what really did happen in the past. In theory it means that historians can write a true history of the world.</w:t>
      </w:r>
    </w:p>
    <w:p w14:paraId="2C57ADA5" w14:textId="77777777" w:rsidR="00076776" w:rsidRDefault="00000000">
      <w:pPr>
        <w:ind w:left="720"/>
      </w:pPr>
      <w:r>
        <w:rPr>
          <w:i/>
        </w:rPr>
        <w:t>7 The idea that history as a discipline is innocent</w:t>
      </w:r>
      <w:r>
        <w:t xml:space="preserve"> …. This idea says that ‘facts’ speak for themselves and that the historian simply researches the facts and puts them together. … </w:t>
      </w:r>
    </w:p>
    <w:p w14:paraId="3AAD5734" w14:textId="77777777" w:rsidR="00076776" w:rsidRDefault="00000000">
      <w:pPr>
        <w:ind w:left="720"/>
      </w:pPr>
      <w:r>
        <w:rPr>
          <w:i/>
        </w:rPr>
        <w:t>8 The idea that history is constructed around binary categories</w:t>
      </w:r>
      <w:r>
        <w:t xml:space="preserve"> … Everything before that time is designated as prehistorical, belonging to the realm of myths and traditions, ‘outside’ the domain. … </w:t>
      </w:r>
      <w:r>
        <w:rPr>
          <w:i/>
        </w:rPr>
        <w:t>9 The idea that history is patriarchal</w:t>
      </w:r>
      <w:r>
        <w:t xml:space="preserve"> … This idea is linked to the notions of self-actualization and development, as women were regarded as being incapable of attaining the higher orders of development. </w:t>
      </w:r>
    </w:p>
    <w:p w14:paraId="26F73714" w14:textId="77777777" w:rsidR="00076776" w:rsidRDefault="00076776"/>
    <w:p w14:paraId="7508B994" w14:textId="77777777" w:rsidR="00076776" w:rsidRDefault="00000000">
      <w:r>
        <w:t>34 @Capital@SettState@Hist@IK@IndHist</w:t>
      </w:r>
    </w:p>
    <w:p w14:paraId="6AC44F42" w14:textId="77777777" w:rsidR="00076776" w:rsidRDefault="00000000">
      <w:pPr>
        <w:ind w:left="720"/>
      </w:pPr>
      <w:r>
        <w:t>The connection to the industrial state is significant because it highlights what was regarded as being worthy of history. The people and groups who ‘made’ history were the people who developed the underpinnings of the state – the economists, scientists, bureaucrats and philosophers.</w:t>
      </w:r>
    </w:p>
    <w:p w14:paraId="082197C8" w14:textId="77777777" w:rsidR="00076776" w:rsidRDefault="00076776"/>
    <w:p w14:paraId="0BC8906D" w14:textId="77777777" w:rsidR="00076776" w:rsidRDefault="00000000">
      <w:r>
        <w:t>35 @</w:t>
      </w:r>
      <w:proofErr w:type="gramStart"/>
      <w:r>
        <w:t>Motherlode!@</w:t>
      </w:r>
      <w:proofErr w:type="gramEnd"/>
      <w:r>
        <w:t>SettPsych</w:t>
      </w:r>
    </w:p>
    <w:p w14:paraId="285964FD" w14:textId="77777777" w:rsidR="00076776" w:rsidRDefault="00000000">
      <w:pPr>
        <w:ind w:left="720"/>
      </w:pPr>
      <w:r>
        <w:t xml:space="preserve">We assume that when ‘the truth comes out’ it will prove that what happened was wrong or illegal and that therefore the system (tribunals, the courts, the government) will set things right. We believe that history is also about justice, that understanding history will enlighten our decisions about the future. </w:t>
      </w:r>
      <w:r>
        <w:rPr>
          <w:i/>
        </w:rPr>
        <w:t>Wrong</w:t>
      </w:r>
      <w:r>
        <w:t xml:space="preserve">. History is also about power. In </w:t>
      </w:r>
      <w:proofErr w:type="gramStart"/>
      <w:r>
        <w:t>fact</w:t>
      </w:r>
      <w:proofErr w:type="gramEnd"/>
      <w:r>
        <w:t xml:space="preserve"> history is mostly about power. It is the story of the powerful and how they became powerful, and then how they use their power to keep them in positions in which they can </w:t>
      </w:r>
      <w:r>
        <w:lastRenderedPageBreak/>
        <w:t xml:space="preserve">continue to dominate others. It is because of this relationship with power that we have been excluded, marginalized and ‘Othered’. In this sense history is not important for indigenous peoples because a thousand accounts of the ‘truth’ will not alter the ‘fact’ that indigenous peoples are still marginal and do not possess the power to transform history into justice. … ‘Why then has revisiting </w:t>
      </w:r>
      <w:r>
        <w:rPr>
          <w:b/>
        </w:rPr>
        <w:t>history</w:t>
      </w:r>
      <w:r>
        <w:t xml:space="preserve"> been a significant part of </w:t>
      </w:r>
      <w:r>
        <w:rPr>
          <w:b/>
        </w:rPr>
        <w:t>decolonization</w:t>
      </w:r>
      <w:r>
        <w:t>?’ The answer, I suggest, lies in the intersection of indigenous approaches to the past, of the modernist history project itself and of the resistance strategies which have been employed. Our colonial experience traps us in the project of modernity. There can be no ‘postmodern’ for us until we have settled some business of the modern. [36] … It means that there is unfinished business, that we are still being colonized (and know it), and that we are still searching for justice.</w:t>
      </w:r>
    </w:p>
    <w:p w14:paraId="08840B04" w14:textId="77777777" w:rsidR="00076776" w:rsidRDefault="00076776"/>
    <w:p w14:paraId="4CA74868" w14:textId="77777777" w:rsidR="00076776" w:rsidRDefault="00000000">
      <w:r>
        <w:t>37 @Acad@Epistem@Decol</w:t>
      </w:r>
    </w:p>
    <w:p w14:paraId="4891A136" w14:textId="77777777" w:rsidR="00076776" w:rsidRDefault="00000000">
      <w:pPr>
        <w:ind w:left="720"/>
      </w:pPr>
      <w:r>
        <w:t>Another problem is that academic writing is a form of selecting, arranging and presenting knowledge. It privileges sets of texts, views about the history of an idea, what issues count as significant; and, by engaging in the same process uncritically, we too can render indigenous writers invisible or unimportant while reinforcing the validity of other writers.</w:t>
      </w:r>
    </w:p>
    <w:p w14:paraId="15E26FE2" w14:textId="77777777" w:rsidR="00076776" w:rsidRDefault="00076776"/>
    <w:p w14:paraId="2AEAEDB8" w14:textId="77777777" w:rsidR="00076776" w:rsidRDefault="00000000">
      <w:pPr>
        <w:pStyle w:val="Heading4"/>
      </w:pPr>
      <w:r>
        <w:t>Chapter 2: Research Through Imperial Eyes</w:t>
      </w:r>
    </w:p>
    <w:p w14:paraId="11AE83AA" w14:textId="77777777" w:rsidR="00076776" w:rsidRDefault="00000000">
      <w:r>
        <w:t>This section, “</w:t>
      </w:r>
      <w:r>
        <w:rPr>
          <w:highlight w:val="green"/>
        </w:rPr>
        <w:t>Conceptions of Space</w:t>
      </w:r>
      <w:r>
        <w:t xml:space="preserve">,” is the core of the book, for me, as it discusses conceptions of space and time: </w:t>
      </w:r>
    </w:p>
    <w:p w14:paraId="6EFDBFBC" w14:textId="77777777" w:rsidR="00076776" w:rsidRDefault="00076776"/>
    <w:p w14:paraId="17B18B3B" w14:textId="77777777" w:rsidR="00076776" w:rsidRDefault="00000000">
      <w:r>
        <w:t>52-53 @SpaceTime@Map@SettlerPsych@Ontol@CogImp@DissSource@FFessay</w:t>
      </w:r>
    </w:p>
    <w:p w14:paraId="11371A8C" w14:textId="77777777" w:rsidR="00076776" w:rsidRDefault="00000000">
      <w:pPr>
        <w:ind w:left="720"/>
      </w:pPr>
      <w:r>
        <w:t>Western ideas about time and space are encoded in language, philosophy and science. Philosophical conceptions of time and space have been concerned with: (1) the relationships between the two ideas, that is, whether space and time are absolute categories or whether they exist relationally; and (2) the measurement of time and space.</w:t>
      </w:r>
      <w:r>
        <w:rPr>
          <w:vertAlign w:val="superscript"/>
        </w:rPr>
        <w:t>16</w:t>
      </w:r>
      <w:r>
        <w:t xml:space="preserve"> Space came to be seen as consisting of lines which were either parallel or elliptical. From these ideas, ways of thinking which related [53] to disciplines of study emerged (for example, mapping and geography, measurement and geometry, motion and physics). These distinctions are generally part of a taken-for-granted view of the world. Spatialized language is frequently used in both </w:t>
      </w:r>
      <w:proofErr w:type="spellStart"/>
      <w:r>
        <w:t>everyday</w:t>
      </w:r>
      <w:proofErr w:type="spellEnd"/>
      <w:r>
        <w:t xml:space="preserve"> and academic discourses.</w:t>
      </w:r>
    </w:p>
    <w:p w14:paraId="0A02249C" w14:textId="77777777" w:rsidR="00076776" w:rsidRDefault="00000000">
      <w:pPr>
        <w:ind w:left="720"/>
      </w:pPr>
      <w:r>
        <w:rPr>
          <w:highlight w:val="magenta"/>
        </w:rPr>
        <w:t>Henri Lefebvre</w:t>
      </w:r>
      <w:r>
        <w:t xml:space="preserve"> argues that the notion of space has been ‘appropriated by mathematics’ which has claimed an ideological position of dominance over what space means.</w:t>
      </w:r>
      <w:r>
        <w:rPr>
          <w:vertAlign w:val="superscript"/>
        </w:rPr>
        <w:t>17</w:t>
      </w:r>
      <w:r>
        <w:t xml:space="preserve"> Mathematics has constructed a language which attempts to define with absolute exactness the parameters, dimensions, qualities and possibilities of space. This language of space influences the way the West thinks about the world beyond earth (cosmology), the ways in which society is viewed (public/private space, city/country space), the ways in which gender roles were defined (public/domestic, home/work) and the ways in which the social world of people could be determined (the market place, the theatre).</w:t>
      </w:r>
      <w:r>
        <w:rPr>
          <w:vertAlign w:val="superscript"/>
        </w:rPr>
        <w:t>18</w:t>
      </w:r>
      <w:r>
        <w:t xml:space="preserve"> Compartmentalized, space can be better defined and measured.</w:t>
      </w:r>
    </w:p>
    <w:p w14:paraId="0F432D8C" w14:textId="77777777" w:rsidR="00076776" w:rsidRDefault="00000000">
      <w:r>
        <w:t xml:space="preserve"> </w:t>
      </w:r>
    </w:p>
    <w:p w14:paraId="1F37022B" w14:textId="77777777" w:rsidR="00076776" w:rsidRDefault="00000000">
      <w:r>
        <w:t>53 @NeoCol@</w:t>
      </w:r>
      <w:proofErr w:type="gramStart"/>
      <w:r>
        <w:t>L?@</w:t>
      </w:r>
      <w:proofErr w:type="gramEnd"/>
      <w:r>
        <w:t>SPacePlace@ISr@Reason@Aes#Skatescapes</w:t>
      </w:r>
    </w:p>
    <w:p w14:paraId="1C5AE8D7" w14:textId="77777777" w:rsidR="00076776" w:rsidRDefault="00000000">
      <w:pPr>
        <w:ind w:left="720"/>
      </w:pPr>
      <w:r>
        <w:rPr>
          <w:shd w:val="clear" w:color="auto" w:fill="FF9900"/>
        </w:rPr>
        <w:t xml:space="preserve">For the indigenous world, </w:t>
      </w:r>
      <w:r>
        <w:rPr>
          <w:b/>
          <w:shd w:val="clear" w:color="auto" w:fill="FF9900"/>
        </w:rPr>
        <w:t>Western conceptions of space</w:t>
      </w:r>
      <w:r>
        <w:rPr>
          <w:shd w:val="clear" w:color="auto" w:fill="FF9900"/>
        </w:rPr>
        <w:t xml:space="preserve">, of arrangements and display, of the relationship between people and the landscape, of culture as an object of study, have meant that not only has the indigenous world been represented in particular ways </w:t>
      </w:r>
      <w:r>
        <w:rPr>
          <w:shd w:val="clear" w:color="auto" w:fill="FF9900"/>
        </w:rPr>
        <w:lastRenderedPageBreak/>
        <w:t xml:space="preserve">back to the West, but the indigenous world view, the land and the people, have been radically transformed in the spatial image of the West. </w:t>
      </w:r>
      <w:r>
        <w:rPr>
          <w:b/>
          <w:shd w:val="clear" w:color="auto" w:fill="FF9900"/>
        </w:rPr>
        <w:t>In other words, indigenous space has been colonized</w:t>
      </w:r>
      <w:r>
        <w:rPr>
          <w:shd w:val="clear" w:color="auto" w:fill="FF9900"/>
        </w:rPr>
        <w:t>.</w:t>
      </w:r>
      <w:r>
        <w:t xml:space="preserve"> Land, for example, was viewed as something to be tamed and brought under control. The landscape, the arrangement of nature, could be altered by ‘Man’: swamps could be drained, waterways diverted, inshore areas filled, not simply for physical survival, but for further exploitation of the environment or making it ‘more pleasing’ aesthetically.</w:t>
      </w:r>
    </w:p>
    <w:p w14:paraId="66A342F1" w14:textId="77777777" w:rsidR="00076776" w:rsidRDefault="00076776"/>
    <w:p w14:paraId="204BF24B" w14:textId="77777777" w:rsidR="00076776" w:rsidRDefault="00000000">
      <w:r>
        <w:t>53-54 @Topo@Map@SpacePlace@IK@L?</w:t>
      </w:r>
    </w:p>
    <w:p w14:paraId="1C9AD973" w14:textId="77777777" w:rsidR="00076776" w:rsidRDefault="00000000">
      <w:pPr>
        <w:ind w:left="720"/>
      </w:pPr>
      <w:r>
        <w:rPr>
          <w:b/>
        </w:rPr>
        <w:t>Renaming the land was probably as powerful ideologically as changing the land.</w:t>
      </w:r>
      <w:r>
        <w:t xml:space="preserve"> </w:t>
      </w:r>
      <w:r>
        <w:rPr>
          <w:b/>
        </w:rPr>
        <w:t>Indigenous children in schools, for example, were taught the new names for places that they and their parents had lived in for generations.</w:t>
      </w:r>
      <w:r>
        <w:t xml:space="preserve"> These were the names which appeared on maps and which were used in official communications. This newly named land became [54] increasingly disconnected from the songs and chants used by indigenous peoples to trace their histories, to bring forth spiritual elements or to carry out the simplest of ceremonies. More significantly, however, space was appropriated from indigenous cultures and then ‘gifted back’ as reservations, reserved pockets of land for indigenous people who once possessed all of it. … Indigenous cultures became framed within a language and a set of spatialized representations.</w:t>
      </w:r>
      <w:r>
        <w:rPr>
          <w:vertAlign w:val="superscript"/>
        </w:rPr>
        <w:t>19</w:t>
      </w:r>
    </w:p>
    <w:p w14:paraId="7B94DF13" w14:textId="77777777" w:rsidR="00076776" w:rsidRDefault="00000000">
      <w:r>
        <w:t>19: See also, Gidley, M., ed. (1994), Representing Others: White Views of Indigenous Peoples, University of Exeter Press.</w:t>
      </w:r>
    </w:p>
    <w:p w14:paraId="193ED4FD" w14:textId="77777777" w:rsidR="00076776" w:rsidRDefault="00076776"/>
    <w:p w14:paraId="1A7DB5C5" w14:textId="77777777" w:rsidR="00076776" w:rsidRDefault="00000000">
      <w:r>
        <w:t>55 @SpaceTime@SettPsych@Ontol</w:t>
      </w:r>
    </w:p>
    <w:p w14:paraId="63B30175" w14:textId="77777777" w:rsidR="00076776" w:rsidRDefault="00000000">
      <w:pPr>
        <w:ind w:left="720"/>
      </w:pPr>
      <w:r>
        <w:rPr>
          <w:b/>
        </w:rPr>
        <w:t>Space is often viewed in Western thinking as being static or divorced from time</w:t>
      </w:r>
      <w:r>
        <w:t>. This view generates ways of making sense of the world as a ‘</w:t>
      </w:r>
      <w:r>
        <w:rPr>
          <w:b/>
        </w:rPr>
        <w:t>realm of stasis’</w:t>
      </w:r>
      <w:r>
        <w:t>, well-defined, fixed and without politics.</w:t>
      </w:r>
      <w:r>
        <w:rPr>
          <w:vertAlign w:val="superscript"/>
        </w:rPr>
        <w:t>22</w:t>
      </w:r>
      <w:r>
        <w:t xml:space="preserve"> This is particularly relevant in relation to colonialism. The establishment of military, missionary or trading stations, the building of roads, ports and bridges, the clearing of bush and the mining of minerals all involved processes of marking, defining and controlling space. There is a very </w:t>
      </w:r>
      <w:r>
        <w:rPr>
          <w:b/>
        </w:rPr>
        <w:t>specific spatial vocabulary of colonialism</w:t>
      </w:r>
      <w:r>
        <w:t xml:space="preserve"> which can be assembled around three concepts: </w:t>
      </w:r>
      <w:r>
        <w:rPr>
          <w:b/>
        </w:rPr>
        <w:t>(1) the line, (2) the centre, and (3) the outside.</w:t>
      </w:r>
      <w:r>
        <w:t xml:space="preserve"> The ‘line’ is important because it was used to map territory, to survey land, to establish boundaries and to mark the limits of colonial power. The ‘centre’ is important because orientation to the centre was an orientation to the system of power. The ‘outside’ is important because it positioned territory and people in an oppositional relation to the colonial centre; for indigenous Australians to be in an ‘</w:t>
      </w:r>
      <w:r>
        <w:rPr>
          <w:b/>
        </w:rPr>
        <w:t>empty space</w:t>
      </w:r>
      <w:r>
        <w:t>’ was to ‘not exist’.</w:t>
      </w:r>
    </w:p>
    <w:p w14:paraId="654BDCDD" w14:textId="77777777" w:rsidR="00076776" w:rsidRDefault="00000000">
      <w:pPr>
        <w:rPr>
          <w:highlight w:val="green"/>
        </w:rPr>
      </w:pPr>
      <w:r>
        <w:rPr>
          <w:highlight w:val="green"/>
        </w:rPr>
        <w:t>See Notes for Table 2.1.</w:t>
      </w:r>
    </w:p>
    <w:p w14:paraId="2A64F1B0" w14:textId="77777777" w:rsidR="00076776" w:rsidRDefault="00076776"/>
    <w:p w14:paraId="7D98B9E3" w14:textId="77777777" w:rsidR="00076776" w:rsidRDefault="00000000">
      <w:pPr>
        <w:pStyle w:val="Heading2"/>
      </w:pPr>
      <w:r>
        <w:t>Secondary quotes</w:t>
      </w:r>
    </w:p>
    <w:p w14:paraId="67202835" w14:textId="77777777" w:rsidR="00076776" w:rsidRDefault="00000000">
      <w:r>
        <w:t xml:space="preserve">1 It galls us that Western researchers and intellectuals can assume to know all that it is possible to know of us, </w:t>
      </w:r>
      <w:proofErr w:type="gramStart"/>
      <w:r>
        <w:t>on the basis of</w:t>
      </w:r>
      <w:proofErr w:type="gramEnd"/>
      <w:r>
        <w:t xml:space="preserve"> their brief encounters with some of us. It appals us that the West can desire, extract and claim ownership of our ways of knowing, our imagery, the things we create and produce, and then simultaneously reject the people who created and developed those ideas and seek to deny them further opportunities to be creators of their own culture and own nations. It angers us when practices linked to the last century, and the centuries before that, are still employed to deny the validity of indigenous peoples’ claim to existence, to land and </w:t>
      </w:r>
      <w:r>
        <w:lastRenderedPageBreak/>
        <w:t xml:space="preserve">territories, to the right of self-determination, to the survival of our languages and forms of cultural knowledge, to our natural resources and systems for living within our environments. / </w:t>
      </w:r>
      <w:proofErr w:type="gramStart"/>
      <w:r>
        <w:t xml:space="preserve">2-3 French philosopher </w:t>
      </w:r>
      <w:r>
        <w:rPr>
          <w:highlight w:val="magenta"/>
        </w:rPr>
        <w:t>Foucault</w:t>
      </w:r>
      <w:r>
        <w:t>,</w:t>
      </w:r>
      <w:proofErr w:type="gramEnd"/>
      <w:r>
        <w:t xml:space="preserve"> has contributed as much to the West’s knowledge of itself as has the systematic gathering of scientific data. From some indigenous perspectives the gathering of information by scientists was as random, ad hoc and damaging as that undertaken by amateurs. / See p. 10 for “Whose research is it? Who owns it? Whose interests does it serve? Who will benefit from it? Who has designed its questions and framed its scope? Who will carry it out? Who will write it up? How will its results be disseminated?” / </w:t>
      </w:r>
      <w:r>
        <w:rPr>
          <w:b/>
        </w:rPr>
        <w:t>11 I argue that, in their foundations, Western disciplines are as much implicated in each other as they are in imperialism</w:t>
      </w:r>
      <w:r>
        <w:t xml:space="preserve">. / 13 The </w:t>
      </w:r>
      <w:proofErr w:type="spellStart"/>
      <w:r>
        <w:rPr>
          <w:i/>
        </w:rPr>
        <w:t>raupatu</w:t>
      </w:r>
      <w:proofErr w:type="spellEnd"/>
      <w:r>
        <w:t xml:space="preserve"> refers to those tribes whose territories were invaded and whose lands were confiscated by the New Zealand government last century. The grievances which have come about through the </w:t>
      </w:r>
      <w:proofErr w:type="spellStart"/>
      <w:r>
        <w:rPr>
          <w:i/>
        </w:rPr>
        <w:t>raupatu</w:t>
      </w:r>
      <w:proofErr w:type="spellEnd"/>
      <w:r>
        <w:t xml:space="preserve"> form the basis of our claim to the Waitangi Tribunal. / 16 The old colonial adage that knowledge is power is taken seriously in indigenous communities and many processes have been discussed and enacted </w:t>
      </w:r>
      <w:proofErr w:type="gramStart"/>
      <w:r>
        <w:t>in order to</w:t>
      </w:r>
      <w:proofErr w:type="gramEnd"/>
      <w:r>
        <w:t xml:space="preserve"> facilitate effective ways of sharing knowledge. Indigenous communities probably know more than the dominant white community about issues raised by the Human Genome Diversity Project, for example, or the General Agreement on Tariffs and Trade (GATT) agreement. / 24 @ManDest Colonialism was, in part, an image of imperialism, a particular realization of the imperial imagination. It was also, in part, an image of the future nation it would become. / 25 A constant reworking of our understandings of the impact of imperialism and colonialism is an important aspect of indigenous cultural politics and forms the basis of an indigenous language of critique. Within this critique there have been </w:t>
      </w:r>
      <w:r>
        <w:rPr>
          <w:b/>
        </w:rPr>
        <w:t>two major strands</w:t>
      </w:r>
      <w:r>
        <w:t xml:space="preserve">. One draws upon a notion of authenticity, of a time before colonization in which we were intact as indigenous peoples. We had absolute authority over our lives; we were born into and lived in a universe which was entirely of our making. We did not ask, need or want to be ‘discovered’ by Europe. The second strand of the language of critique demands that we have an analysis of how we were colonized, of what that has meant in terms of our immediate past and what it means for our present and future. The two strands intersect but what is particularly significant in indigenous discourses is that solutions are posed from a combination of the time before, </w:t>
      </w:r>
      <w:r>
        <w:rPr>
          <w:b/>
          <w:i/>
        </w:rPr>
        <w:t>colonized time</w:t>
      </w:r>
      <w:r>
        <w:rPr>
          <w:b/>
        </w:rPr>
        <w:t xml:space="preserve">, and the time before that, </w:t>
      </w:r>
      <w:r>
        <w:rPr>
          <w:b/>
          <w:i/>
        </w:rPr>
        <w:t>pre-colonized time</w:t>
      </w:r>
      <w:r>
        <w:rPr>
          <w:b/>
        </w:rPr>
        <w:t>. Decolonization encapsulates both sets of ideas</w:t>
      </w:r>
      <w:r>
        <w:t xml:space="preserve">. / See 26+ for section on “being human” / 28 The </w:t>
      </w:r>
      <w:r>
        <w:rPr>
          <w:b/>
        </w:rPr>
        <w:t>binary of colonizer/colonized</w:t>
      </w:r>
      <w:r>
        <w:t xml:space="preserve"> does not </w:t>
      </w:r>
      <w:proofErr w:type="gramStart"/>
      <w:r>
        <w:t>take into account</w:t>
      </w:r>
      <w:proofErr w:type="gramEnd"/>
      <w:r>
        <w:t xml:space="preserve">, for example, the development of different </w:t>
      </w:r>
      <w:proofErr w:type="spellStart"/>
      <w:r>
        <w:t>layerings</w:t>
      </w:r>
      <w:proofErr w:type="spellEnd"/>
      <w:r>
        <w:t xml:space="preserve"> which have occurred within each group and across the two groups. Millions of indigenous peoples were ripped from their lands over several generations and shipped into slavery. / 33 The German philosopher </w:t>
      </w:r>
      <w:r>
        <w:rPr>
          <w:highlight w:val="magenta"/>
        </w:rPr>
        <w:t>Hegel</w:t>
      </w:r>
      <w:r>
        <w:t xml:space="preserve"> is usually regarded as the ‘founding father’ of history in the sense outlined here. This applies to both Liberal and </w:t>
      </w:r>
      <w:r>
        <w:rPr>
          <w:highlight w:val="magenta"/>
        </w:rPr>
        <w:t>Marxist</w:t>
      </w:r>
      <w:r>
        <w:t xml:space="preserve"> views.</w:t>
      </w:r>
      <w:r>
        <w:rPr>
          <w:vertAlign w:val="superscript"/>
        </w:rPr>
        <w:t>18</w:t>
      </w:r>
      <w:r>
        <w:t xml:space="preserve"> Hegel conceived of the fully human subject as someone capable of ‘creating (his) own history’. However, Hegel did not simply invent the rules of history. As Robert Young argues, ‘the entire Hegelian machinery simply lays down the operation of a system already in place, already operating in everyday life’.</w:t>
      </w:r>
      <w:r>
        <w:rPr>
          <w:vertAlign w:val="superscript"/>
        </w:rPr>
        <w:t>19</w:t>
      </w:r>
      <w:r>
        <w:t xml:space="preserve"> It should also be self-evident that many of these ideas are predicated on a sense of Otherness. … Hegel’s master—slave construct … / 36 @Orality On “dangerous books” … </w:t>
      </w:r>
      <w:proofErr w:type="spellStart"/>
      <w:r>
        <w:t>Maori</w:t>
      </w:r>
      <w:proofErr w:type="spellEnd"/>
      <w:r>
        <w:t xml:space="preserve"> writer Patricia Grace undertook to show that ‘Books Are Dangerous’.</w:t>
      </w:r>
      <w:r>
        <w:rPr>
          <w:vertAlign w:val="superscript"/>
        </w:rPr>
        <w:t>21</w:t>
      </w:r>
      <w:r>
        <w:t xml:space="preserve"> She argues that there are four things that make many books dangerous to indigenous readers: (1) they do not reinforce our values, actions, customs, culture and identity; (2) when they tell us only about others they are saying that we do not exist; (3) they may be writing about us but are writing things which are untrue; and (4) they are writing about us but saying negative and insensitive things which tell us that we are not good. / 38 @Lang and </w:t>
      </w:r>
      <w:r>
        <w:rPr>
          <w:b/>
        </w:rPr>
        <w:t>non-</w:t>
      </w:r>
      <w:r>
        <w:rPr>
          <w:b/>
        </w:rPr>
        <w:lastRenderedPageBreak/>
        <w:t>English</w:t>
      </w:r>
      <w:r>
        <w:t xml:space="preserve">: Yet another position, espoused in African literature by Ngugi </w:t>
      </w:r>
      <w:proofErr w:type="spellStart"/>
      <w:r>
        <w:t>wa</w:t>
      </w:r>
      <w:proofErr w:type="spellEnd"/>
      <w:r>
        <w:t xml:space="preserve"> Thiong’o, was to write in the languages of Africa. For Ngugi </w:t>
      </w:r>
      <w:proofErr w:type="spellStart"/>
      <w:r>
        <w:t>wa</w:t>
      </w:r>
      <w:proofErr w:type="spellEnd"/>
      <w:r>
        <w:t xml:space="preserve"> Thiong’o, to write in the language of the colonizers was to pay homage to them, while to write in the languages of Africa was to engage in an anti-imperialist struggle. He argued that language carries culture and the language of the colonizer became </w:t>
      </w:r>
      <w:proofErr w:type="gramStart"/>
      <w:r>
        <w:t>the means by which</w:t>
      </w:r>
      <w:proofErr w:type="gramEnd"/>
      <w:r>
        <w:t xml:space="preserve"> the ‘mental universe of the colonized’ was dominated.</w:t>
      </w:r>
      <w:r>
        <w:rPr>
          <w:vertAlign w:val="superscript"/>
        </w:rPr>
        <w:t xml:space="preserve">24 </w:t>
      </w:r>
      <w:r>
        <w:t xml:space="preserve">/ 40 The </w:t>
      </w:r>
      <w:r>
        <w:rPr>
          <w:b/>
        </w:rPr>
        <w:t>language of a theory</w:t>
      </w:r>
      <w:r>
        <w:t xml:space="preserve"> can also be used as a way of organizing and determining action. / 201 </w:t>
      </w:r>
      <w:r>
        <w:rPr>
          <w:b/>
          <w:highlight w:val="green"/>
        </w:rPr>
        <w:t>I conceptualize five conditions or dimensions that have framed the struggle for decolonization</w:t>
      </w:r>
      <w:r>
        <w:t xml:space="preserve">. The first I would define as a critical consciousness, an awakening from the slumber of hegemony, and the realization that action </w:t>
      </w:r>
      <w:proofErr w:type="gramStart"/>
      <w:r>
        <w:t>has to</w:t>
      </w:r>
      <w:proofErr w:type="gramEnd"/>
      <w:r>
        <w:t xml:space="preserve"> occur. The second condition…. / </w:t>
      </w:r>
    </w:p>
    <w:p w14:paraId="57B364ED" w14:textId="77777777" w:rsidR="00076776" w:rsidRDefault="00076776"/>
    <w:p w14:paraId="1833B29D" w14:textId="77777777" w:rsidR="00076776" w:rsidRDefault="00000000">
      <w:pPr>
        <w:pStyle w:val="Heading2"/>
      </w:pPr>
      <w:r>
        <w:t>Notes</w:t>
      </w:r>
    </w:p>
    <w:p w14:paraId="1257F4B3" w14:textId="77777777" w:rsidR="00076776" w:rsidRDefault="00000000">
      <w:r>
        <w:t>@DissSource@MotherLode!</w:t>
      </w:r>
    </w:p>
    <w:p w14:paraId="53532B54" w14:textId="77777777" w:rsidR="00076776" w:rsidRDefault="00000000">
      <w:r>
        <w:t xml:space="preserve">Looks like I will have to read this at some point: Lefebvre, H. (1991), </w:t>
      </w:r>
      <w:r>
        <w:rPr>
          <w:i/>
        </w:rPr>
        <w:t>The Production of Space</w:t>
      </w:r>
      <w:r>
        <w:t>, Blackwell, Oxford.</w:t>
      </w:r>
    </w:p>
    <w:p w14:paraId="38B2071D" w14:textId="77777777" w:rsidR="00076776" w:rsidRDefault="00076776"/>
    <w:p w14:paraId="20C7B5F5" w14:textId="77777777" w:rsidR="00076776" w:rsidRDefault="00000000">
      <w:r>
        <w:t>55 @Diss?</w:t>
      </w:r>
    </w:p>
    <w:p w14:paraId="289C4A5A" w14:textId="77777777" w:rsidR="00076776" w:rsidRDefault="00000000">
      <w:r>
        <w:t xml:space="preserve">This table on page 55 could come in use, later, </w:t>
      </w:r>
      <w:proofErr w:type="gramStart"/>
      <w:r>
        <w:t>as a way to</w:t>
      </w:r>
      <w:proofErr w:type="gramEnd"/>
      <w:r>
        <w:t xml:space="preserve"> orient my deconstruction of colonial maps: </w:t>
      </w:r>
    </w:p>
    <w:p w14:paraId="0EDD2A14" w14:textId="77777777" w:rsidR="00076776" w:rsidRDefault="00076776"/>
    <w:p w14:paraId="55A3EA66" w14:textId="77777777" w:rsidR="00076776" w:rsidRDefault="00000000">
      <w:pPr>
        <w:jc w:val="center"/>
      </w:pPr>
      <w:r>
        <w:rPr>
          <w:noProof/>
        </w:rPr>
        <w:drawing>
          <wp:inline distT="0" distB="0" distL="0" distR="0" wp14:anchorId="4F81E5B3" wp14:editId="4555DD1E">
            <wp:extent cx="3530600" cy="2731770"/>
            <wp:effectExtent l="0" t="0" r="0" b="0"/>
            <wp:docPr id="6" name="image4.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cell phone&#10;&#10;Description automatically generated"/>
                    <pic:cNvPicPr preferRelativeResize="0"/>
                  </pic:nvPicPr>
                  <pic:blipFill>
                    <a:blip r:embed="rId20"/>
                    <a:srcRect/>
                    <a:stretch>
                      <a:fillRect/>
                    </a:stretch>
                  </pic:blipFill>
                  <pic:spPr>
                    <a:xfrm>
                      <a:off x="0" y="0"/>
                      <a:ext cx="3530600" cy="2731770"/>
                    </a:xfrm>
                    <a:prstGeom prst="rect">
                      <a:avLst/>
                    </a:prstGeom>
                    <a:ln/>
                  </pic:spPr>
                </pic:pic>
              </a:graphicData>
            </a:graphic>
          </wp:inline>
        </w:drawing>
      </w:r>
    </w:p>
    <w:p w14:paraId="0C64408C" w14:textId="77777777" w:rsidR="00076776" w:rsidRDefault="00000000">
      <w:r>
        <w:t>121</w:t>
      </w:r>
    </w:p>
    <w:p w14:paraId="7D0CE723" w14:textId="77777777" w:rsidR="00076776" w:rsidRDefault="00000000">
      <w:r>
        <w:t xml:space="preserve">For </w:t>
      </w:r>
      <w:r>
        <w:rPr>
          <w:b/>
        </w:rPr>
        <w:t>e.g. of methodological framework</w:t>
      </w:r>
      <w:r>
        <w:t xml:space="preserve">, see image on 121. </w:t>
      </w:r>
    </w:p>
    <w:p w14:paraId="730C3754" w14:textId="77777777" w:rsidR="00076776" w:rsidRDefault="00076776"/>
    <w:p w14:paraId="36B376E5" w14:textId="77777777" w:rsidR="00076776" w:rsidRDefault="00000000">
      <w:r>
        <w:t>144 @Knote@Diss?</w:t>
      </w:r>
    </w:p>
    <w:p w14:paraId="1DE4FFE4" w14:textId="77777777" w:rsidR="00076776" w:rsidRDefault="00000000">
      <w:r>
        <w:rPr>
          <w:b/>
        </w:rPr>
        <w:t>The Projects</w:t>
      </w:r>
      <w:r>
        <w:t xml:space="preserve"> section lists </w:t>
      </w:r>
      <w:r>
        <w:rPr>
          <w:b/>
        </w:rPr>
        <w:t>25 types of projects</w:t>
      </w:r>
      <w:r>
        <w:t xml:space="preserve"> that one could undertake: </w:t>
      </w:r>
    </w:p>
    <w:p w14:paraId="7539995A" w14:textId="77777777" w:rsidR="00076776" w:rsidRDefault="00000000">
      <w:pPr>
        <w:ind w:firstLine="720"/>
      </w:pPr>
      <w:r>
        <w:t xml:space="preserve">The following projects are not ranked or listed in any </w:t>
      </w:r>
      <w:proofErr w:type="gramStart"/>
      <w:r>
        <w:t>particular order</w:t>
      </w:r>
      <w:proofErr w:type="gramEnd"/>
      <w:r>
        <w:t xml:space="preserve">… </w:t>
      </w:r>
    </w:p>
    <w:p w14:paraId="3DBD157F" w14:textId="77777777" w:rsidR="00076776" w:rsidRDefault="00076776"/>
    <w:p w14:paraId="19EE7019" w14:textId="77777777" w:rsidR="00076776" w:rsidRDefault="00000000">
      <w:pPr>
        <w:pStyle w:val="Heading1"/>
      </w:pPr>
      <w:bookmarkStart w:id="11" w:name="_heading=h.17dp8vu" w:colFirst="0" w:colLast="0"/>
      <w:bookmarkEnd w:id="11"/>
      <w:r>
        <w:lastRenderedPageBreak/>
        <w:t>*(2012) Tuck &amp; Yang, “Decolonization is Not a Metaphor”</w:t>
      </w:r>
    </w:p>
    <w:p w14:paraId="6B4F2314" w14:textId="77777777" w:rsidR="00076776" w:rsidRDefault="00076776"/>
    <w:p w14:paraId="5601B8B7" w14:textId="77777777" w:rsidR="00076776" w:rsidRDefault="00000000">
      <w:pPr>
        <w:pStyle w:val="Heading2"/>
      </w:pPr>
      <w:r>
        <w:t>Abstract</w:t>
      </w:r>
    </w:p>
    <w:p w14:paraId="1B182777" w14:textId="77777777" w:rsidR="00076776" w:rsidRDefault="00000000">
      <w:r>
        <w:t xml:space="preserve">Landmark paper (over 2,100 citations on </w:t>
      </w:r>
      <w:r>
        <w:rPr>
          <w:i/>
        </w:rPr>
        <w:t>Google Scholar</w:t>
      </w:r>
      <w:r>
        <w:t xml:space="preserve">) on the practicalities and hypocrisies of “decolonization.” </w:t>
      </w:r>
    </w:p>
    <w:p w14:paraId="08AEB1B0" w14:textId="77777777" w:rsidR="00076776" w:rsidRDefault="00076776"/>
    <w:p w14:paraId="30E35BEB" w14:textId="77777777" w:rsidR="00076776" w:rsidRDefault="00000000">
      <w:pPr>
        <w:pStyle w:val="Heading2"/>
      </w:pPr>
      <w:r>
        <w:t>Key words</w:t>
      </w:r>
    </w:p>
    <w:p w14:paraId="1D4A1BF1" w14:textId="77777777" w:rsidR="00076776" w:rsidRDefault="00000000">
      <w:r>
        <w:t>decolonization, settler colonialism, settler moves to innocence, incommensurability, Indigenous land, decolonizing education</w:t>
      </w:r>
    </w:p>
    <w:p w14:paraId="3F1EB0A9" w14:textId="77777777" w:rsidR="00076776" w:rsidRDefault="00076776"/>
    <w:p w14:paraId="176C2182" w14:textId="77777777" w:rsidR="00076776" w:rsidRDefault="00000000">
      <w:pPr>
        <w:pStyle w:val="Heading2"/>
      </w:pPr>
      <w:r>
        <w:t>Essential quote</w:t>
      </w:r>
    </w:p>
    <w:p w14:paraId="2A4E3119" w14:textId="77777777" w:rsidR="00076776" w:rsidRDefault="00000000">
      <w:pPr>
        <w:rPr>
          <w:color w:val="000000"/>
        </w:rPr>
      </w:pPr>
      <w:r>
        <w:rPr>
          <w:color w:val="000000"/>
        </w:rPr>
        <w:t>36: Decolonization is not an “and”. It is an elsewhere.</w:t>
      </w:r>
    </w:p>
    <w:p w14:paraId="14BE60C1" w14:textId="77777777" w:rsidR="00076776" w:rsidRDefault="00076776"/>
    <w:p w14:paraId="66928954" w14:textId="77777777" w:rsidR="00076776" w:rsidRDefault="00000000">
      <w:pPr>
        <w:pStyle w:val="Heading2"/>
      </w:pPr>
      <w:r>
        <w:t>Terms</w:t>
      </w:r>
    </w:p>
    <w:p w14:paraId="1EAB44B8" w14:textId="77777777" w:rsidR="00076776" w:rsidRDefault="00000000">
      <w:r>
        <w:t xml:space="preserve">3: </w:t>
      </w:r>
      <w:r>
        <w:rPr>
          <w:b/>
        </w:rPr>
        <w:t>moves to innocence</w:t>
      </w:r>
      <w:r>
        <w:t xml:space="preserve">: from </w:t>
      </w:r>
      <w:r>
        <w:rPr>
          <w:color w:val="000000"/>
        </w:rPr>
        <w:t>(</w:t>
      </w:r>
      <w:proofErr w:type="spellStart"/>
      <w:r>
        <w:rPr>
          <w:color w:val="000000"/>
        </w:rPr>
        <w:t>Malwhinney</w:t>
      </w:r>
      <w:proofErr w:type="spellEnd"/>
      <w:r>
        <w:rPr>
          <w:color w:val="000000"/>
        </w:rPr>
        <w:t>, 1998), settler “strategies to remove involvement in and culpability for systems of domination” (</w:t>
      </w:r>
      <w:r>
        <w:rPr>
          <w:color w:val="0000FF"/>
        </w:rPr>
        <w:t>p. 17</w:t>
      </w:r>
      <w:r>
        <w:rPr>
          <w:color w:val="000000"/>
        </w:rPr>
        <w:t xml:space="preserve">)., and later (p. 9-10), “the self-positioning of white people as simultaneously the oppressed and never an oppressor, and as having an </w:t>
      </w:r>
      <w:r>
        <w:rPr>
          <w:i/>
          <w:color w:val="000000"/>
        </w:rPr>
        <w:t xml:space="preserve">absence of experience </w:t>
      </w:r>
      <w:r>
        <w:rPr>
          <w:color w:val="000000"/>
        </w:rPr>
        <w:t>of oppressive power relations (</w:t>
      </w:r>
      <w:r>
        <w:rPr>
          <w:color w:val="0000FF"/>
        </w:rPr>
        <w:t>p. 100</w:t>
      </w:r>
      <w:r>
        <w:rPr>
          <w:color w:val="000000"/>
        </w:rPr>
        <w:t>).” [</w:t>
      </w:r>
      <w:r>
        <w:t>10] “…</w:t>
      </w:r>
      <w:r>
        <w:rPr>
          <w:color w:val="000000"/>
        </w:rPr>
        <w:t>those strategies or positionings that attempt to relieve the settler of feelings of guilt or responsibility without giving up land or power or privilege, without having to change much at all.”</w:t>
      </w:r>
    </w:p>
    <w:p w14:paraId="2B77FB38" w14:textId="77777777" w:rsidR="00076776" w:rsidRDefault="00000000">
      <w:r>
        <w:rPr>
          <w:color w:val="000000"/>
          <w:highlight w:val="green"/>
        </w:rPr>
        <w:t>The moves in detail, from the list on p. 4:</w:t>
      </w:r>
      <w:r>
        <w:rPr>
          <w:color w:val="000000"/>
        </w:rPr>
        <w:t xml:space="preserve"> </w:t>
      </w:r>
    </w:p>
    <w:p w14:paraId="34ED6BE9" w14:textId="77777777" w:rsidR="00076776" w:rsidRDefault="00000000">
      <w:pPr>
        <w:ind w:left="720"/>
      </w:pPr>
      <w:proofErr w:type="spellStart"/>
      <w:r>
        <w:t>i</w:t>
      </w:r>
      <w:proofErr w:type="spellEnd"/>
      <w:r>
        <w:t xml:space="preserve">. </w:t>
      </w:r>
      <w:r>
        <w:rPr>
          <w:b/>
        </w:rPr>
        <w:t>Settler nativism</w:t>
      </w:r>
      <w:r>
        <w:t xml:space="preserve"> [10]: In this move to innocence, settlers locate or invent a long-lost ancestor who is rumored to have had “Indian blood,” and they use this claim to mark themselves as blameless in the attempted eradications of Indigenous peoples.</w:t>
      </w:r>
    </w:p>
    <w:p w14:paraId="135197F3" w14:textId="77777777" w:rsidR="00076776" w:rsidRDefault="00000000">
      <w:pPr>
        <w:ind w:left="720"/>
      </w:pPr>
      <w:r>
        <w:t xml:space="preserve">ii. </w:t>
      </w:r>
      <w:r>
        <w:rPr>
          <w:b/>
        </w:rPr>
        <w:t>Fantasizing adoption</w:t>
      </w:r>
      <w:r>
        <w:t xml:space="preserve"> [14]: “…</w:t>
      </w:r>
      <w:r>
        <w:rPr>
          <w:color w:val="000000"/>
        </w:rPr>
        <w:t xml:space="preserve">to </w:t>
      </w:r>
      <w:r>
        <w:rPr>
          <w:i/>
          <w:color w:val="000000"/>
        </w:rPr>
        <w:t xml:space="preserve">become without becoming [Indian] </w:t>
      </w:r>
      <w:r>
        <w:rPr>
          <w:color w:val="000000"/>
        </w:rPr>
        <w:t>within settler adoption fantasies. These fantasies can mean the adoption of Indigenous practices and knowledge, but more, refer to those narratives in the settler colonial imagination in which the Native (understanding that he is becoming extinct) hands over his land, his claim to the land, his very Indian-ness to the settler for safe-keeping. … Settler adoption fantasies.” [15] “Settler fantasies of adoption alleviate the anxiety of settler un-belonging.”</w:t>
      </w:r>
    </w:p>
    <w:p w14:paraId="3C3EF1A3" w14:textId="77777777" w:rsidR="00076776" w:rsidRDefault="00000000">
      <w:pPr>
        <w:ind w:left="720"/>
      </w:pPr>
      <w:r>
        <w:t xml:space="preserve">iii. </w:t>
      </w:r>
      <w:r>
        <w:rPr>
          <w:b/>
        </w:rPr>
        <w:t>Colonial equivocation</w:t>
      </w:r>
      <w:r>
        <w:t xml:space="preserve"> [18]: “</w:t>
      </w:r>
      <w:r>
        <w:rPr>
          <w:color w:val="000000"/>
        </w:rPr>
        <w:t>Calling different groups ‘colonized’ without describing their relationship to settler colonialism is an equivocation, “the fallacy of using a word in different senses at different stages of the reasoning” (</w:t>
      </w:r>
      <w:proofErr w:type="spellStart"/>
      <w:r>
        <w:rPr>
          <w:color w:val="0000FF"/>
        </w:rPr>
        <w:t>Etymonline</w:t>
      </w:r>
      <w:proofErr w:type="spellEnd"/>
      <w:r>
        <w:rPr>
          <w:color w:val="0000FF"/>
        </w:rPr>
        <w:t>, 2001</w:t>
      </w:r>
      <w:r>
        <w:rPr>
          <w:color w:val="000000"/>
        </w:rPr>
        <w:t xml:space="preserve">). </w:t>
      </w:r>
      <w:proofErr w:type="gramStart"/>
      <w:r>
        <w:rPr>
          <w:color w:val="000000"/>
        </w:rPr>
        <w:t>In particular, describing</w:t>
      </w:r>
      <w:proofErr w:type="gramEnd"/>
      <w:r>
        <w:rPr>
          <w:color w:val="000000"/>
        </w:rPr>
        <w:t xml:space="preserve"> all struggles against imperialism as ‘decolonizing’ creates a convenient ambiguity between decolonization and social justice work, especially among people of color, queer people, and other groups minoritized by the settler nation-state. …calling everything by the same name, is a move towards innocence that is especially vogue in coalition politics among people of color.”</w:t>
      </w:r>
    </w:p>
    <w:p w14:paraId="55C8C212" w14:textId="77777777" w:rsidR="00076776" w:rsidRDefault="00000000">
      <w:pPr>
        <w:ind w:left="720"/>
      </w:pPr>
      <w:r>
        <w:t xml:space="preserve">iv. </w:t>
      </w:r>
      <w:r>
        <w:rPr>
          <w:b/>
        </w:rPr>
        <w:t>Conscientization</w:t>
      </w:r>
      <w:r>
        <w:t xml:space="preserve"> [19] or “Free your mind and the rest will follow:” “… </w:t>
      </w:r>
      <w:r>
        <w:rPr>
          <w:color w:val="000000"/>
        </w:rPr>
        <w:t xml:space="preserve">focus on decolonizing the mind, or the cultivation of critical consciousness, as if it were the sole </w:t>
      </w:r>
      <w:r>
        <w:rPr>
          <w:color w:val="000000"/>
        </w:rPr>
        <w:lastRenderedPageBreak/>
        <w:t xml:space="preserve">activity of decolonization; to allow </w:t>
      </w:r>
      <w:r>
        <w:rPr>
          <w:i/>
          <w:color w:val="000000"/>
        </w:rPr>
        <w:t xml:space="preserve">conscientization </w:t>
      </w:r>
      <w:r>
        <w:rPr>
          <w:color w:val="000000"/>
        </w:rPr>
        <w:t>to stand in for the more uncomfortable task of relinquishing stolen land. … Until stolen land is relinquished, critical consciousness does not translate into action that disrupts settler colonialism.”</w:t>
      </w:r>
    </w:p>
    <w:p w14:paraId="11CA0DCD" w14:textId="77777777" w:rsidR="00076776" w:rsidRDefault="00000000">
      <w:pPr>
        <w:ind w:left="720"/>
      </w:pPr>
      <w:r>
        <w:t xml:space="preserve">v. </w:t>
      </w:r>
      <w:r>
        <w:rPr>
          <w:b/>
        </w:rPr>
        <w:t>At risk-</w:t>
      </w:r>
      <w:proofErr w:type="spellStart"/>
      <w:r>
        <w:rPr>
          <w:b/>
        </w:rPr>
        <w:t>ing</w:t>
      </w:r>
      <w:proofErr w:type="spellEnd"/>
      <w:r>
        <w:rPr>
          <w:b/>
        </w:rPr>
        <w:t xml:space="preserve"> / Asterisk-</w:t>
      </w:r>
      <w:proofErr w:type="spellStart"/>
      <w:r>
        <w:rPr>
          <w:b/>
        </w:rPr>
        <w:t>ing</w:t>
      </w:r>
      <w:proofErr w:type="spellEnd"/>
      <w:r>
        <w:rPr>
          <w:b/>
        </w:rPr>
        <w:t xml:space="preserve"> Indigenous peoples</w:t>
      </w:r>
      <w:r>
        <w:t>: [22] “</w:t>
      </w:r>
      <w:r>
        <w:rPr>
          <w:color w:val="000000"/>
        </w:rPr>
        <w:t>This settler move to innocence is concerned with the ways in which Indigenous peoples are counted, codified, represented, and included/</w:t>
      </w:r>
      <w:proofErr w:type="spellStart"/>
      <w:r>
        <w:rPr>
          <w:color w:val="000000"/>
        </w:rPr>
        <w:t>disincluded</w:t>
      </w:r>
      <w:proofErr w:type="spellEnd"/>
      <w:r>
        <w:rPr>
          <w:color w:val="000000"/>
        </w:rPr>
        <w:t xml:space="preserve"> by educational researchers and other social science researchers. Indigenous peoples are rendered visible in mainstream educational research in two main ways: as “at risk” peoples and as asterisk peoples. … moves Indigenous nations as ‘populations’ to the margins of public discourse.”</w:t>
      </w:r>
    </w:p>
    <w:p w14:paraId="0F801C1C" w14:textId="77777777" w:rsidR="00076776" w:rsidRDefault="00000000">
      <w:pPr>
        <w:ind w:left="720"/>
      </w:pPr>
      <w:r>
        <w:t xml:space="preserve">vi. </w:t>
      </w:r>
      <w:r>
        <w:rPr>
          <w:b/>
        </w:rPr>
        <w:t>Re-occupation and urban homesteading</w:t>
      </w:r>
      <w:r>
        <w:t xml:space="preserve">: [23] [on </w:t>
      </w:r>
      <w:r>
        <w:rPr>
          <w:b/>
        </w:rPr>
        <w:t>occupation</w:t>
      </w:r>
      <w:r>
        <w:t xml:space="preserve"> and the Occupy movement] “… </w:t>
      </w:r>
      <w:r>
        <w:rPr>
          <w:color w:val="000000"/>
        </w:rPr>
        <w:t xml:space="preserve">problematic assumptions about social justice and is a prime example of the incommensurability between ‘re/occupy’ and ‘decolonize’ as political agendas. … the ideal of ‘redistribution of wealth’ camouflages how much of that wealth is </w:t>
      </w:r>
      <w:r>
        <w:rPr>
          <w:i/>
          <w:color w:val="000000"/>
        </w:rPr>
        <w:t>land</w:t>
      </w:r>
      <w:r>
        <w:rPr>
          <w:color w:val="000000"/>
        </w:rPr>
        <w:t xml:space="preserve">, Native land. [28] </w:t>
      </w:r>
      <w:r>
        <w:rPr>
          <w:b/>
          <w:color w:val="000000"/>
        </w:rPr>
        <w:t>Urban homesteading</w:t>
      </w:r>
      <w:r>
        <w:rPr>
          <w:color w:val="000000"/>
        </w:rPr>
        <w:t>, for example, is the practice of re-settling urban land in the fashion of self-styled pioneers in a mythical frontier. Not surprisingly, urban homesteading can also become a form of playing Indian, invoking Indigeneity as ‘tradition’ and claiming Indian-like spirituality while evading Indigenous sovereignty and the modern presence of actual urban Native peoples.”</w:t>
      </w:r>
    </w:p>
    <w:p w14:paraId="40C31F36" w14:textId="77777777" w:rsidR="00076776" w:rsidRDefault="00000000">
      <w:r>
        <w:t xml:space="preserve">4: </w:t>
      </w:r>
      <w:r>
        <w:rPr>
          <w:b/>
        </w:rPr>
        <w:t>external colonialism</w:t>
      </w:r>
      <w:r>
        <w:t xml:space="preserve">: </w:t>
      </w:r>
      <w:r>
        <w:rPr>
          <w:color w:val="000000"/>
        </w:rPr>
        <w:t>(also called exogenous or exploitation colonization) denotes the expropriation of fragments of Indigenous worlds, animals, plants and human beings, extracting them in order to transport them to - and build the wealth, the privilege, or feed the appetites of - the colonizers, who get marked as the first world. … External colonialism often requires a subset of activities properly called military colonialism - the creation of war fronts/frontiers against enemies to be conquered, and the enlistment of foreign land, resources, and people into military operations. In external colonialism, all things Native become recast as ‘natural resources’ - bodies and earth for war, bodies and earth for chattel.</w:t>
      </w:r>
    </w:p>
    <w:p w14:paraId="18912792" w14:textId="77777777" w:rsidR="00076776" w:rsidRDefault="00000000">
      <w:r>
        <w:rPr>
          <w:color w:val="000000"/>
        </w:rPr>
        <w:t xml:space="preserve">4-5: </w:t>
      </w:r>
      <w:r>
        <w:rPr>
          <w:b/>
          <w:color w:val="000000"/>
        </w:rPr>
        <w:t>internal colonialism</w:t>
      </w:r>
      <w:r>
        <w:rPr>
          <w:color w:val="000000"/>
        </w:rPr>
        <w:t xml:space="preserve">: “… </w:t>
      </w:r>
      <w:r>
        <w:rPr>
          <w:i/>
          <w:color w:val="000000"/>
        </w:rPr>
        <w:t>internal colonialism</w:t>
      </w:r>
      <w:r>
        <w:rPr>
          <w:color w:val="000000"/>
        </w:rPr>
        <w:t>, the biopolitical and geopolitical management of people, land, flora and fauna within the “domestic” borders of the imperial nation. … particularized modes of control - prisons, ghettos, minoritizing, schooling, policing - to ensure the ascendancy of a nation and its white</w:t>
      </w:r>
      <w:r>
        <w:rPr>
          <w:rFonts w:ascii="Helvetica Neue" w:eastAsia="Helvetica Neue" w:hAnsi="Helvetica Neue" w:cs="Helvetica Neue"/>
          <w:color w:val="000000"/>
          <w:sz w:val="26"/>
          <w:szCs w:val="26"/>
          <w:vertAlign w:val="superscript"/>
        </w:rPr>
        <w:t xml:space="preserve">3 </w:t>
      </w:r>
      <w:r>
        <w:rPr>
          <w:color w:val="000000"/>
        </w:rPr>
        <w:t>elite. … Strategies of internal colonialism, such as segregation, divestment, surveillance, and criminalization, are both structural and interpersonal.</w:t>
      </w:r>
    </w:p>
    <w:p w14:paraId="13A7D46C" w14:textId="77777777" w:rsidR="00076776" w:rsidRDefault="00000000">
      <w:r>
        <w:rPr>
          <w:color w:val="000000"/>
        </w:rPr>
        <w:t xml:space="preserve">5: </w:t>
      </w:r>
      <w:r>
        <w:rPr>
          <w:b/>
          <w:color w:val="000000"/>
        </w:rPr>
        <w:t>settler colonialism</w:t>
      </w:r>
      <w:r>
        <w:rPr>
          <w:color w:val="000000"/>
        </w:rPr>
        <w:t>: @L?</w:t>
      </w:r>
      <w:r>
        <w:rPr>
          <w:i/>
          <w:color w:val="000000"/>
        </w:rPr>
        <w:t xml:space="preserve"> </w:t>
      </w:r>
      <w:r>
        <w:rPr>
          <w:color w:val="000000"/>
        </w:rPr>
        <w:t>“</w:t>
      </w:r>
      <w:r>
        <w:rPr>
          <w:i/>
          <w:color w:val="000000"/>
        </w:rPr>
        <w:t xml:space="preserve">Settler colonialism </w:t>
      </w:r>
      <w:r>
        <w:rPr>
          <w:color w:val="000000"/>
        </w:rPr>
        <w:t xml:space="preserve">operates through internal/external colonial modes simultaneously because there is no spatial separation between metropole and colony.” …settlers come with the intention of making a new home on the land, a homemaking that insists on settler sovereignty over all things in their new domain. … the most important concern is land/water/air/subterranean earth (land, for shorthand, in this article.) Land is what is most valuable, contested, required.” </w:t>
      </w:r>
    </w:p>
    <w:p w14:paraId="288CF88B"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6: </w:t>
      </w:r>
      <w:r>
        <w:rPr>
          <w:b/>
          <w:color w:val="000000"/>
        </w:rPr>
        <w:t>anthropocentric normal</w:t>
      </w:r>
      <w:r>
        <w:rPr>
          <w:color w:val="000000"/>
        </w:rPr>
        <w:t>: “…more developed, more human, more deserving than other groups or species.”</w:t>
      </w:r>
    </w:p>
    <w:p w14:paraId="4327C702"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6: </w:t>
      </w:r>
      <w:r>
        <w:rPr>
          <w:b/>
          <w:color w:val="000000"/>
        </w:rPr>
        <w:t>homesteading worldview</w:t>
      </w:r>
      <w:r>
        <w:rPr>
          <w:color w:val="000000"/>
        </w:rPr>
        <w:t>: “…the wild land and wild people were made for his [settler] benefit.”</w:t>
      </w:r>
    </w:p>
    <w:p w14:paraId="680A81BF"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6: </w:t>
      </w:r>
      <w:r>
        <w:rPr>
          <w:b/>
          <w:color w:val="000000"/>
        </w:rPr>
        <w:t>civilization</w:t>
      </w:r>
      <w:r>
        <w:rPr>
          <w:color w:val="000000"/>
        </w:rPr>
        <w:t xml:space="preserve">: “… defined as production </w:t>
      </w:r>
      <w:proofErr w:type="gramStart"/>
      <w:r>
        <w:rPr>
          <w:color w:val="000000"/>
        </w:rPr>
        <w:t>in excess of</w:t>
      </w:r>
      <w:proofErr w:type="gramEnd"/>
      <w:r>
        <w:rPr>
          <w:color w:val="000000"/>
        </w:rPr>
        <w:t xml:space="preserve"> the ‘natural’ world (i.e. </w:t>
      </w:r>
      <w:proofErr w:type="gramStart"/>
      <w:r>
        <w:rPr>
          <w:color w:val="000000"/>
        </w:rPr>
        <w:t>in excess of</w:t>
      </w:r>
      <w:proofErr w:type="gramEnd"/>
      <w:r>
        <w:rPr>
          <w:color w:val="000000"/>
        </w:rPr>
        <w:t xml:space="preserve"> the sustainable production already present in the Indigenous world).”</w:t>
      </w:r>
    </w:p>
    <w:p w14:paraId="76207D69"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lastRenderedPageBreak/>
        <w:t xml:space="preserve">13: </w:t>
      </w:r>
      <w:r>
        <w:rPr>
          <w:b/>
          <w:color w:val="000000"/>
        </w:rPr>
        <w:t>Pocahontas Exception</w:t>
      </w:r>
      <w:r>
        <w:rPr>
          <w:color w:val="000000"/>
        </w:rPr>
        <w:t xml:space="preserve">: from the “Racial Integrity Act” (USA): “…loophole allowed thousands of white people to claim Indian ancestry, while actual Indigenous people were reclassified as ‘colored’ and disappeared off the public record.” </w:t>
      </w:r>
    </w:p>
    <w:p w14:paraId="57781D1B"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18: </w:t>
      </w:r>
      <w:r>
        <w:rPr>
          <w:b/>
          <w:color w:val="000000"/>
        </w:rPr>
        <w:t>settler-native-slave</w:t>
      </w:r>
      <w:r>
        <w:rPr>
          <w:color w:val="000000"/>
        </w:rPr>
        <w:t xml:space="preserve">: </w:t>
      </w:r>
      <w:r>
        <w:t xml:space="preserve">“The shuffling of Indigenous people between Native, </w:t>
      </w:r>
      <w:proofErr w:type="spellStart"/>
      <w:r>
        <w:t>enslavable</w:t>
      </w:r>
      <w:proofErr w:type="spellEnd"/>
      <w:r>
        <w:t xml:space="preserve"> Other, and Orientalized Other16 shows how settler colonialism constructs and collapses its triad of categories.” See page 18 for more examples. Also characterized as the “</w:t>
      </w:r>
      <w:r>
        <w:rPr>
          <w:b/>
          <w:i/>
          <w:color w:val="000000"/>
        </w:rPr>
        <w:t>settler colonial triad</w:t>
      </w:r>
      <w:r>
        <w:rPr>
          <w:color w:val="000000"/>
        </w:rPr>
        <w:t>”</w:t>
      </w:r>
      <w:r>
        <w:rPr>
          <w:i/>
          <w:color w:val="000000"/>
        </w:rPr>
        <w:t xml:space="preserve"> </w:t>
      </w:r>
      <w:r>
        <w:rPr>
          <w:color w:val="000000"/>
        </w:rPr>
        <w:t>(31),</w:t>
      </w:r>
      <w:r>
        <w:rPr>
          <w:i/>
          <w:color w:val="000000"/>
        </w:rPr>
        <w:t xml:space="preserve"> </w:t>
      </w:r>
      <w:r>
        <w:rPr>
          <w:color w:val="000000"/>
        </w:rPr>
        <w:t>breakable by “</w:t>
      </w:r>
      <w:r>
        <w:rPr>
          <w:i/>
          <w:color w:val="000000"/>
        </w:rPr>
        <w:t>repatriating land to sovereign Native tribes and nations, abolition of slavery in its contemporary forms, and the dismantling of the imperial metropole.</w:t>
      </w:r>
      <w:r>
        <w:rPr>
          <w:color w:val="000000"/>
        </w:rPr>
        <w:t>”</w:t>
      </w:r>
    </w:p>
    <w:p w14:paraId="3601674E"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21: </w:t>
      </w:r>
      <w:r>
        <w:rPr>
          <w:b/>
          <w:color w:val="000000"/>
        </w:rPr>
        <w:t>white harm reduction</w:t>
      </w:r>
      <w:r>
        <w:rPr>
          <w:b/>
          <w:i/>
          <w:color w:val="000000"/>
        </w:rPr>
        <w:t xml:space="preserve"> </w:t>
      </w:r>
      <w:r>
        <w:rPr>
          <w:b/>
          <w:color w:val="000000"/>
        </w:rPr>
        <w:t>models</w:t>
      </w:r>
      <w:r>
        <w:rPr>
          <w:color w:val="000000"/>
        </w:rPr>
        <w:t>: “… attempt to reduce the harm or risk of specific practices. [Anna] Jacobs identifies white supremacy as a public health issue that is at the root of most other public health issues. The goal … is to reduce the harm that white supremacy has had on white people, and the deep harm it has caused non-white people over generations.”</w:t>
      </w:r>
    </w:p>
    <w:p w14:paraId="6EE4F4A6"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21-22: </w:t>
      </w:r>
      <w:r>
        <w:rPr>
          <w:b/>
          <w:color w:val="000000"/>
        </w:rPr>
        <w:t>settler harm reduction</w:t>
      </w:r>
      <w:r>
        <w:rPr>
          <w:color w:val="000000"/>
        </w:rPr>
        <w:t>: based on “white harm reduction:” “… the curricular- pedagogical project of critical consciousness … crucial in the resuscitation of practices and intellectual life outside of settler ontologies. … settler harm reduction, like conscientization, is not the same as decolonization and does not inherently offer any pathways that lead to decolonization.</w:t>
      </w:r>
    </w:p>
    <w:p w14:paraId="608A71EC"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22: </w:t>
      </w:r>
      <w:r>
        <w:rPr>
          <w:b/>
          <w:color w:val="000000"/>
        </w:rPr>
        <w:t>n</w:t>
      </w:r>
      <w:r>
        <w:rPr>
          <w:color w:val="000000"/>
        </w:rPr>
        <w:t xml:space="preserve">: “sample size.” </w:t>
      </w:r>
    </w:p>
    <w:p w14:paraId="3A41610C"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28: </w:t>
      </w:r>
      <w:r>
        <w:rPr>
          <w:b/>
          <w:color w:val="000000"/>
        </w:rPr>
        <w:t>ethic of incommensurability</w:t>
      </w:r>
      <w:r>
        <w:rPr>
          <w:color w:val="000000"/>
        </w:rPr>
        <w:t>: “We argue that the opportunities for solidarity lie in what is incommensurable rather than what is common across these efforts,” such as “</w:t>
      </w:r>
      <w:proofErr w:type="spellStart"/>
      <w:r>
        <w:rPr>
          <w:color w:val="000000"/>
        </w:rPr>
        <w:t>transnationalist</w:t>
      </w:r>
      <w:proofErr w:type="spellEnd"/>
      <w:r>
        <w:rPr>
          <w:color w:val="000000"/>
        </w:rPr>
        <w:t xml:space="preserve">, abolitionist, and critical pedagogy movements - efforts that are often thought of as exempt from Indigenous decolonizing analyses.” </w:t>
      </w:r>
    </w:p>
    <w:p w14:paraId="7934DBED"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7BE619BE" w14:textId="77777777" w:rsidR="00076776" w:rsidRDefault="00000000">
      <w:pPr>
        <w:pStyle w:val="Heading2"/>
      </w:pPr>
      <w:r>
        <w:t>Core quotes</w:t>
      </w:r>
    </w:p>
    <w:p w14:paraId="45767799" w14:textId="77777777" w:rsidR="00076776" w:rsidRDefault="00000000">
      <w:r>
        <w:t>2 @Acad@NeoCol@Decol@Arg</w:t>
      </w:r>
    </w:p>
    <w:p w14:paraId="6CD6FFDF" w14:textId="77777777" w:rsidR="00076776" w:rsidRDefault="00000000">
      <w:pPr>
        <w:ind w:left="720"/>
      </w:pPr>
      <w:r>
        <w:rPr>
          <w:color w:val="000000"/>
        </w:rPr>
        <w:t xml:space="preserve">One trend we have noticed, with growing apprehension, is </w:t>
      </w:r>
      <w:r>
        <w:rPr>
          <w:b/>
          <w:color w:val="000000"/>
        </w:rPr>
        <w:t>the ease with which the language of decolonization has been superficially adopted</w:t>
      </w:r>
      <w:r>
        <w:rPr>
          <w:color w:val="000000"/>
        </w:rPr>
        <w:t xml:space="preserve"> into education and other social sciences, supplanting prior ways of talking about social justice, critical methodologies, or approaches which decenter settler perspectives. Decolonization, which we assert is a distinct project from other civil and human rights-based social justice projects, is far too often subsumed into the directives of these projects, with no regard for how decolonization wants something different than those forms of justice.</w:t>
      </w:r>
    </w:p>
    <w:p w14:paraId="0F22FF4E" w14:textId="77777777" w:rsidR="00076776" w:rsidRDefault="00076776"/>
    <w:p w14:paraId="4CA91F63" w14:textId="77777777" w:rsidR="00076776" w:rsidRDefault="00000000">
      <w:r>
        <w:rPr>
          <w:highlight w:val="green"/>
        </w:rPr>
        <w:t>3</w:t>
      </w:r>
      <w:r>
        <w:t xml:space="preserve"> @NeoCol@SJ@Arg@CultApp</w:t>
      </w:r>
    </w:p>
    <w:p w14:paraId="0F2600D2" w14:textId="77777777" w:rsidR="00076776" w:rsidRDefault="00000000">
      <w:pPr>
        <w:ind w:left="720"/>
      </w:pPr>
      <w:r>
        <w:t xml:space="preserve">… </w:t>
      </w:r>
      <w:r>
        <w:rPr>
          <w:b/>
          <w:color w:val="000000"/>
        </w:rPr>
        <w:t>decolonization is not a metaphor</w:t>
      </w:r>
      <w:r>
        <w:rPr>
          <w:color w:val="000000"/>
        </w:rPr>
        <w:t xml:space="preserve">. When metaphor invades decolonization, it kills the very possibility of decolonization; it recenters whiteness, it resettles theory, it extends innocence to the settler, it entertains a settler future. Decolonize (a verb) and </w:t>
      </w:r>
      <w:r>
        <w:rPr>
          <w:b/>
          <w:color w:val="000000"/>
        </w:rPr>
        <w:t>decolonization (a noun) cannot easily be grafted onto pre-existing discourses/frameworks</w:t>
      </w:r>
      <w:r>
        <w:rPr>
          <w:color w:val="000000"/>
        </w:rPr>
        <w:t xml:space="preserve">, even if they are critical, even if they are anti-racist, even if they are justice frameworks. The easy absorption, adoption, and transposing of decolonization is yet another form of settler appropriation. … </w:t>
      </w:r>
      <w:r>
        <w:rPr>
          <w:b/>
          <w:color w:val="000000"/>
        </w:rPr>
        <w:t>Decolonization doesn’t have a synonym</w:t>
      </w:r>
      <w:r>
        <w:rPr>
          <w:color w:val="000000"/>
        </w:rPr>
        <w:t>.</w:t>
      </w:r>
    </w:p>
    <w:p w14:paraId="3FFA2253" w14:textId="77777777" w:rsidR="00076776" w:rsidRDefault="00076776"/>
    <w:p w14:paraId="7A03A02B" w14:textId="77777777" w:rsidR="00076776" w:rsidRDefault="00000000">
      <w:r>
        <w:t>5 @</w:t>
      </w:r>
      <w:proofErr w:type="gramStart"/>
      <w:r>
        <w:t>L?@</w:t>
      </w:r>
      <w:proofErr w:type="gramEnd"/>
      <w:r>
        <w:t>SettCol@ManDest@Epistem@Ontol@SpacePlace@IndHist</w:t>
      </w:r>
    </w:p>
    <w:p w14:paraId="78247F8A"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pPr>
      <w:r>
        <w:rPr>
          <w:color w:val="000000"/>
        </w:rPr>
        <w:t xml:space="preserve">“… land is remade into property and human relationships to land are restricted to the relationship of the owner to his property. Epistemological, ontological, and cosmological relationships to land are interred, indeed made pre-modern and backward. Made savage. </w:t>
      </w:r>
      <w:proofErr w:type="gramStart"/>
      <w:r>
        <w:rPr>
          <w:color w:val="000000"/>
        </w:rPr>
        <w:t xml:space="preserve">In </w:t>
      </w:r>
      <w:r>
        <w:rPr>
          <w:color w:val="000000"/>
        </w:rPr>
        <w:lastRenderedPageBreak/>
        <w:t>order for</w:t>
      </w:r>
      <w:proofErr w:type="gramEnd"/>
      <w:r>
        <w:rPr>
          <w:color w:val="000000"/>
        </w:rPr>
        <w:t xml:space="preserve"> the settlers to make a place their home, they must destroy and disappear the Indigenous peoples that live there. Indigenous peoples are those who have creation stories, not colonization stories, about how we/they came to be in a particular place - indeed how we/they came to </w:t>
      </w:r>
      <w:r>
        <w:rPr>
          <w:i/>
          <w:color w:val="000000"/>
        </w:rPr>
        <w:t>be a place</w:t>
      </w:r>
      <w:r>
        <w:rPr>
          <w:color w:val="000000"/>
        </w:rPr>
        <w:t>.</w:t>
      </w:r>
    </w:p>
    <w:p w14:paraId="2B3DBCF5"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color w:val="000000"/>
        </w:rPr>
      </w:pPr>
    </w:p>
    <w:p w14:paraId="7A86C52A"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highlight w:val="green"/>
        </w:rPr>
        <w:t>6</w:t>
      </w:r>
      <w:r>
        <w:rPr>
          <w:color w:val="000000"/>
        </w:rPr>
        <w:t xml:space="preserve"> @SettPysch@Hegem@MandDest</w:t>
      </w:r>
    </w:p>
    <w:p w14:paraId="1F46C503"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pPr>
      <w:r>
        <w:rPr>
          <w:b/>
          <w:color w:val="000000"/>
        </w:rPr>
        <w:t>The settler positions himself as both superior and normal</w:t>
      </w:r>
      <w:r>
        <w:rPr>
          <w:color w:val="000000"/>
        </w:rPr>
        <w:t>; the settler is natural, whereas the Indigenous inhabitant and the chattel slave are unnatural, even supernatural.</w:t>
      </w:r>
    </w:p>
    <w:p w14:paraId="7900B504"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2B2D4BBF"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@Law@SettPsych@Imm</w:t>
      </w:r>
    </w:p>
    <w:p w14:paraId="03BFAA71"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pPr>
      <w:r>
        <w:rPr>
          <w:color w:val="000000"/>
        </w:rPr>
        <w:t xml:space="preserve">Settlers are not immigrants. Immigrants are beholden to the Indigenous laws and epistemologies of the lands they migrate to. Settlers become the law, supplanting Indigenous laws and epistemologies. Therefore, </w:t>
      </w:r>
      <w:r>
        <w:rPr>
          <w:b/>
          <w:color w:val="000000"/>
        </w:rPr>
        <w:t>settler nations are not immigrant nations</w:t>
      </w:r>
      <w:r>
        <w:rPr>
          <w:color w:val="000000"/>
        </w:rPr>
        <w:t xml:space="preserve"> (See also A.J. Barker, 2009).</w:t>
      </w:r>
    </w:p>
    <w:p w14:paraId="6AFA7289"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2508E888"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highlight w:val="green"/>
        </w:rPr>
        <w:t>7 @</w:t>
      </w:r>
      <w:proofErr w:type="gramStart"/>
      <w:r>
        <w:rPr>
          <w:color w:val="000000"/>
          <w:highlight w:val="green"/>
        </w:rPr>
        <w:t>L?@</w:t>
      </w:r>
      <w:proofErr w:type="gramEnd"/>
      <w:r>
        <w:rPr>
          <w:color w:val="000000"/>
          <w:highlight w:val="green"/>
        </w:rPr>
        <w:t>DECOL@UL@</w:t>
      </w:r>
      <w:proofErr w:type="gramStart"/>
      <w:r>
        <w:rPr>
          <w:color w:val="000000"/>
          <w:highlight w:val="green"/>
        </w:rPr>
        <w:t>Diss?</w:t>
      </w:r>
      <w:r>
        <w:rPr>
          <w:color w:val="000000"/>
        </w:rPr>
        <w:t>@</w:t>
      </w:r>
      <w:proofErr w:type="gramEnd"/>
      <w:r>
        <w:rPr>
          <w:color w:val="000000"/>
        </w:rPr>
        <w:t>DECOL</w:t>
      </w:r>
    </w:p>
    <w:p w14:paraId="61CD7F7F"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pPr>
      <w:r>
        <w:rPr>
          <w:color w:val="000000"/>
        </w:rPr>
        <w:t xml:space="preserve">Though the details are not fixed or agreed upon, in our view, decolonization in the settler colonial context must involve the repatriation of land simultaneous to the recognition of how land and relations to land have always already been differently understood and enacted; that is, </w:t>
      </w:r>
      <w:proofErr w:type="gramStart"/>
      <w:r>
        <w:rPr>
          <w:i/>
          <w:color w:val="000000"/>
        </w:rPr>
        <w:t xml:space="preserve">all </w:t>
      </w:r>
      <w:r>
        <w:rPr>
          <w:color w:val="000000"/>
        </w:rPr>
        <w:t>of</w:t>
      </w:r>
      <w:proofErr w:type="gramEnd"/>
      <w:r>
        <w:rPr>
          <w:color w:val="000000"/>
        </w:rPr>
        <w:t xml:space="preserve"> the land, and not just symbolically.</w:t>
      </w:r>
    </w:p>
    <w:p w14:paraId="23A12007"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77566DCD"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10 @Acad@NeoLib@NeoCol</w:t>
      </w:r>
    </w:p>
    <w:p w14:paraId="49BF59B1"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pPr>
      <w:r>
        <w:rPr>
          <w:color w:val="000000"/>
        </w:rPr>
        <w:t xml:space="preserve">In fact, </w:t>
      </w:r>
      <w:r>
        <w:rPr>
          <w:b/>
          <w:color w:val="000000"/>
        </w:rPr>
        <w:t>settler scholars</w:t>
      </w:r>
      <w:r>
        <w:rPr>
          <w:color w:val="000000"/>
        </w:rPr>
        <w:t xml:space="preserve"> may </w:t>
      </w:r>
      <w:r>
        <w:rPr>
          <w:b/>
          <w:color w:val="000000"/>
        </w:rPr>
        <w:t>gain professional kudos</w:t>
      </w:r>
      <w:r>
        <w:rPr>
          <w:color w:val="000000"/>
        </w:rPr>
        <w:t xml:space="preserve"> or a boost in their reputations for being so sensitive or self-aware. Yet settler moves to innocence are hollow, they only serve the settler.</w:t>
      </w:r>
    </w:p>
    <w:p w14:paraId="4CE0BDAE" w14:textId="77777777" w:rsidR="00076776" w:rsidRDefault="00076776">
      <w:pPr>
        <w:rPr>
          <w:color w:val="000000"/>
        </w:rPr>
      </w:pPr>
    </w:p>
    <w:p w14:paraId="64D9A901" w14:textId="77777777" w:rsidR="00076776" w:rsidRDefault="00000000">
      <w:pPr>
        <w:rPr>
          <w:color w:val="000000"/>
        </w:rPr>
      </w:pPr>
      <w:r>
        <w:rPr>
          <w:color w:val="000000"/>
        </w:rPr>
        <w:t>12 @BQuant@Racial@SettPsych</w:t>
      </w:r>
    </w:p>
    <w:p w14:paraId="0D3581AE" w14:textId="77777777" w:rsidR="00076776" w:rsidRDefault="00000000">
      <w:pPr>
        <w:ind w:left="720"/>
      </w:pPr>
      <w:r>
        <w:rPr>
          <w:color w:val="000000"/>
        </w:rPr>
        <w:t xml:space="preserve">Native American is a racialization that portrays contemporary Indigenous generations to be less authentic, less Indigenous than every prior generation </w:t>
      </w:r>
      <w:proofErr w:type="gramStart"/>
      <w:r>
        <w:rPr>
          <w:color w:val="000000"/>
        </w:rPr>
        <w:t>in order to</w:t>
      </w:r>
      <w:proofErr w:type="gramEnd"/>
      <w:r>
        <w:rPr>
          <w:color w:val="000000"/>
        </w:rPr>
        <w:t xml:space="preserve"> ultimately phase out Indigenous claims to land and usher in settler claims to property. This is primarily done through </w:t>
      </w:r>
      <w:r>
        <w:rPr>
          <w:b/>
          <w:color w:val="000000"/>
        </w:rPr>
        <w:t>blood quantum</w:t>
      </w:r>
      <w:r>
        <w:rPr>
          <w:color w:val="000000"/>
        </w:rPr>
        <w:t xml:space="preserve"> registries and policies…</w:t>
      </w:r>
    </w:p>
    <w:p w14:paraId="58BC9C6B" w14:textId="77777777" w:rsidR="00076776" w:rsidRDefault="00076776">
      <w:pPr>
        <w:ind w:left="720"/>
        <w:rPr>
          <w:color w:val="000000"/>
        </w:rPr>
      </w:pPr>
    </w:p>
    <w:p w14:paraId="56C99527" w14:textId="77777777" w:rsidR="00076776" w:rsidRDefault="00000000">
      <w:r>
        <w:rPr>
          <w:color w:val="000000"/>
        </w:rPr>
        <w:t xml:space="preserve">And, above </w:t>
      </w:r>
      <w:proofErr w:type="gramStart"/>
      <w:r>
        <w:rPr>
          <w:color w:val="000000"/>
        </w:rPr>
        <w:t>this quotes</w:t>
      </w:r>
      <w:proofErr w:type="gramEnd"/>
      <w:r>
        <w:rPr>
          <w:color w:val="000000"/>
        </w:rPr>
        <w:t xml:space="preserve"> is the discussion on “expansive” vs. “subtractive” understandings of Black and Indigenous “races,” respectively: “Native American- ness</w:t>
      </w:r>
      <w:r>
        <w:rPr>
          <w:rFonts w:ascii="Helvetica Neue" w:eastAsia="Helvetica Neue" w:hAnsi="Helvetica Neue" w:cs="Helvetica Neue"/>
          <w:color w:val="000000"/>
          <w:sz w:val="26"/>
          <w:szCs w:val="26"/>
          <w:vertAlign w:val="superscript"/>
        </w:rPr>
        <w:t xml:space="preserve"> [10] </w:t>
      </w:r>
      <w:r>
        <w:rPr>
          <w:color w:val="000000"/>
        </w:rPr>
        <w:t xml:space="preserve">is </w:t>
      </w:r>
      <w:r>
        <w:rPr>
          <w:i/>
          <w:color w:val="000000"/>
        </w:rPr>
        <w:t>subtractive</w:t>
      </w:r>
      <w:r>
        <w:rPr>
          <w:color w:val="000000"/>
        </w:rPr>
        <w:t xml:space="preserve">: Native Americans are constructed to become fewer in number and </w:t>
      </w:r>
      <w:r>
        <w:rPr>
          <w:i/>
          <w:color w:val="000000"/>
        </w:rPr>
        <w:t xml:space="preserve">less </w:t>
      </w:r>
      <w:r>
        <w:rPr>
          <w:color w:val="000000"/>
        </w:rPr>
        <w:t>Native, but never exactly white, over time.</w:t>
      </w:r>
    </w:p>
    <w:p w14:paraId="0E6BE2AC"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5BE38A5E"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13 @SettPsych@ISr@BQuant</w:t>
      </w:r>
    </w:p>
    <w:p w14:paraId="43402698"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pPr>
      <w:r>
        <w:rPr>
          <w:b/>
          <w:color w:val="000000"/>
        </w:rPr>
        <w:t>Ancestry is different from tribal membership</w:t>
      </w:r>
      <w:r>
        <w:rPr>
          <w:color w:val="000000"/>
        </w:rPr>
        <w:t>; Indigenous identity and tribal membership are questions that Indigenous communities alone have the right to struggle over and define, not DNA tests, heritage websites, and certainly not the settler state.</w:t>
      </w:r>
    </w:p>
    <w:p w14:paraId="0F156505"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color w:val="000000"/>
        </w:rPr>
      </w:pPr>
    </w:p>
    <w:p w14:paraId="42D13573"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16 @Erase@IndHist@Ontol@Para@CogDiss</w:t>
      </w:r>
    </w:p>
    <w:p w14:paraId="6EFC654D"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pPr>
      <w:r>
        <w:rPr>
          <w:color w:val="000000"/>
        </w:rPr>
        <w:t xml:space="preserve">…the Indian as vanishing in an earlier time frame, and thus Indigenous people are already dead prior to removal. / Performing sympathy is critical to Cooper’s project of settler innocence. … The settler’s personal suffering feeds his fantasy of mutuality. … pain is the </w:t>
      </w:r>
      <w:r>
        <w:rPr>
          <w:color w:val="000000"/>
        </w:rPr>
        <w:lastRenderedPageBreak/>
        <w:t xml:space="preserve">token for oppression… </w:t>
      </w:r>
      <w:r>
        <w:rPr>
          <w:b/>
          <w:color w:val="000000"/>
        </w:rPr>
        <w:t>The beauty of this settler fantasy is that it adopts decolonization and aborts it in one gesture</w:t>
      </w:r>
      <w:r>
        <w:rPr>
          <w:color w:val="000000"/>
        </w:rPr>
        <w:t>.</w:t>
      </w:r>
    </w:p>
    <w:p w14:paraId="63C723B8"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color w:val="000000"/>
        </w:rPr>
      </w:pPr>
    </w:p>
    <w:p w14:paraId="69B2477F"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10 @Poco@Decol@SettPsych@Arg</w:t>
      </w:r>
    </w:p>
    <w:p w14:paraId="776DC46D"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pPr>
      <w:r>
        <w:rPr>
          <w:color w:val="000000"/>
        </w:rPr>
        <w:t xml:space="preserve">… </w:t>
      </w:r>
      <w:r>
        <w:rPr>
          <w:b/>
          <w:color w:val="000000"/>
        </w:rPr>
        <w:t>an anti-colonial critique is not the same as a decolonizing framework</w:t>
      </w:r>
      <w:r>
        <w:rPr>
          <w:color w:val="000000"/>
        </w:rPr>
        <w:t xml:space="preserve">; anti-colonial critique often celebrates empowered postcolonial subjects who seize denied privileges from the metropole. This anti-to-post-colonial project doesn’t strive to undo colonialism but rather to remake it and subvert it. Seeking stolen resources is entangled with settler colonialism because those resources were nature/Native first…. the postcolonial pursuit of resources is fundamentally an anthropocentric model, as land, water, air, animals, and plants are never able to become postcolonial… </w:t>
      </w:r>
    </w:p>
    <w:p w14:paraId="49157C03"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58436704"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21 @SettPsych@Decol@SJ</w:t>
      </w:r>
    </w:p>
    <w:p w14:paraId="2CD3DBD2"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color w:val="000000"/>
        </w:rPr>
      </w:pPr>
      <w:r>
        <w:rPr>
          <w:color w:val="000000"/>
        </w:rPr>
        <w:t>Colonialism is marked by its specializations. … It is not converting Indigenous politics to a Western doctrine of liberation; it is not a philanthropic process of ‘helping’ the at-risk and alleviating suffering; it is not a generic term for struggle against oppressive conditions and outcomes. … decolonization specifically requires the repatriation of Indigenous land and life. Decolonization is not a metonym for social justice.</w:t>
      </w:r>
    </w:p>
    <w:p w14:paraId="56A4D92F"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 xml:space="preserve"> </w:t>
      </w:r>
    </w:p>
    <w:p w14:paraId="0D2CCE5F" w14:textId="77777777" w:rsidR="00076776" w:rsidRDefault="00000000">
      <w:r>
        <w:t>23 @</w:t>
      </w:r>
      <w:proofErr w:type="gramStart"/>
      <w:r>
        <w:t>L?@</w:t>
      </w:r>
      <w:proofErr w:type="gramEnd"/>
      <w:r>
        <w:t>SettPsych@Capital</w:t>
      </w:r>
    </w:p>
    <w:p w14:paraId="0AF5D461"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pPr>
      <w:r>
        <w:rPr>
          <w:color w:val="000000"/>
        </w:rPr>
        <w:t xml:space="preserve">In figure 1.1, the irony of mapping of wealth onto land seems to escape most of those who re-posted the images on their social networking sites and blogs: Land is already wealth; it is already divided; and its distribution is the greatest indicator of racial </w:t>
      </w:r>
      <w:proofErr w:type="gramStart"/>
      <w:r>
        <w:rPr>
          <w:color w:val="000000"/>
        </w:rPr>
        <w:t>inequality .</w:t>
      </w:r>
      <w:proofErr w:type="gramEnd"/>
      <w:r>
        <w:rPr>
          <w:color w:val="000000"/>
        </w:rPr>
        <w:t xml:space="preserve"> </w:t>
      </w:r>
      <w:proofErr w:type="gramStart"/>
      <w:r>
        <w:rPr>
          <w:color w:val="000000"/>
        </w:rPr>
        <w:t>Indeed</w:t>
      </w:r>
      <w:proofErr w:type="gramEnd"/>
      <w:r>
        <w:rPr>
          <w:color w:val="000000"/>
        </w:rPr>
        <w:t xml:space="preserve"> the current wealth crisis facing the 99% spiraled with the crash in home/land ownership. Land (not money) is </w:t>
      </w:r>
      <w:proofErr w:type="gramStart"/>
      <w:r>
        <w:rPr>
          <w:color w:val="000000"/>
        </w:rPr>
        <w:t>actually the</w:t>
      </w:r>
      <w:proofErr w:type="gramEnd"/>
      <w:r>
        <w:rPr>
          <w:color w:val="000000"/>
        </w:rPr>
        <w:t xml:space="preserve"> basis for U.S. wealth. If we took away land, there would be little wealth left to redistribute. [26] For social justice movements, like Occupy, to truly aspire to decolonization non- metaphorically, they would impoverish, not enrich, the 99%+ settler population of United States</w:t>
      </w:r>
      <w:r>
        <w:rPr>
          <w:b/>
          <w:color w:val="000000"/>
        </w:rPr>
        <w:t>. Decolonization eliminates settler property rights and settler sovereignty</w:t>
      </w:r>
      <w:r>
        <w:rPr>
          <w:color w:val="000000"/>
        </w:rPr>
        <w:t>. It requires the abolition of land as property and upholds the sovereignty of Native land and people.</w:t>
      </w:r>
    </w:p>
    <w:p w14:paraId="13E133C1"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418B3487"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highlight w:val="green"/>
        </w:rPr>
        <w:t>28</w:t>
      </w:r>
      <w:r>
        <w:rPr>
          <w:color w:val="000000"/>
        </w:rPr>
        <w:t xml:space="preserve"> @Contracolonial@Ethics@SJ@Hegem@Acad</w:t>
      </w:r>
    </w:p>
    <w:p w14:paraId="146AE87A" w14:textId="77777777" w:rsidR="00076776" w:rsidRDefault="00000000">
      <w:r>
        <w:t>T&amp;Y provide a section in the paper called “</w:t>
      </w:r>
      <w:r>
        <w:rPr>
          <w:b/>
        </w:rPr>
        <w:t>Incommensurability is unsettling</w:t>
      </w:r>
      <w:r>
        <w:t xml:space="preserve">,” in which they “point to unsettling themes that challenge the coalescence of social justice endeavors broadly assembled into three areas: </w:t>
      </w:r>
      <w:r>
        <w:rPr>
          <w:b/>
        </w:rPr>
        <w:t xml:space="preserve">Transnational or Third World </w:t>
      </w:r>
      <w:proofErr w:type="spellStart"/>
      <w:r>
        <w:rPr>
          <w:b/>
        </w:rPr>
        <w:t>decolonizations</w:t>
      </w:r>
      <w:proofErr w:type="spellEnd"/>
      <w:r>
        <w:rPr>
          <w:b/>
        </w:rPr>
        <w:t>, Abolition, and Critical Space-Place Pedagogies</w:t>
      </w:r>
      <w:r>
        <w:t xml:space="preserve">.” They then recommend readings in each of these areas. Here’s the sections: </w:t>
      </w:r>
    </w:p>
    <w:p w14:paraId="64654418" w14:textId="77777777" w:rsidR="00076776" w:rsidRDefault="00076776"/>
    <w:p w14:paraId="1BF23A44" w14:textId="77777777" w:rsidR="00076776" w:rsidRDefault="00000000">
      <w:pPr>
        <w:ind w:left="720"/>
      </w:pPr>
      <w:r>
        <w:t xml:space="preserve">[29] </w:t>
      </w:r>
      <w:r>
        <w:rPr>
          <w:b/>
        </w:rPr>
        <w:t xml:space="preserve">Third world </w:t>
      </w:r>
      <w:proofErr w:type="spellStart"/>
      <w:r>
        <w:rPr>
          <w:b/>
        </w:rPr>
        <w:t>decolonizations</w:t>
      </w:r>
      <w:proofErr w:type="spellEnd"/>
      <w:r>
        <w:rPr>
          <w:b/>
        </w:rPr>
        <w:t xml:space="preserve"> </w:t>
      </w:r>
      <w:r>
        <w:t xml:space="preserve">… The anti-colonial turn towards the transnational can sometimes involve ignoring the settler colonial context where one resides and how that inhabitation is implicated in settler colonialism … For people writing on Third World </w:t>
      </w:r>
      <w:proofErr w:type="spellStart"/>
      <w:r>
        <w:t>decolonizations</w:t>
      </w:r>
      <w:proofErr w:type="spellEnd"/>
      <w:r>
        <w:t xml:space="preserve">, but who do so upon Native land, we invite you to consider the permanent settler war as the theater for all imperial wars: [followed by a reading list]. </w:t>
      </w:r>
    </w:p>
    <w:p w14:paraId="36B20B9C" w14:textId="77777777" w:rsidR="00076776" w:rsidRDefault="00076776">
      <w:pPr>
        <w:ind w:left="720"/>
      </w:pPr>
    </w:p>
    <w:p w14:paraId="67742F65" w14:textId="77777777" w:rsidR="00076776" w:rsidRDefault="00000000">
      <w:pPr>
        <w:ind w:left="720"/>
      </w:pPr>
      <w:r>
        <w:rPr>
          <w:b/>
        </w:rPr>
        <w:t>Abolition</w:t>
      </w:r>
      <w:r>
        <w:t xml:space="preserve"> … The abolition of slavery often presumes the expansion of settlers who own Native land and life via inclusion of emancipated slaves and prisoners into the settler </w:t>
      </w:r>
      <w:r>
        <w:lastRenderedPageBreak/>
        <w:t xml:space="preserve">nation-state. As we have noted, it is no accident that the U.S. government promised 40 acres of Indian land as reparations for plantation slavery. … “The land belongs to those who work it,” disturbingly parrots Lockean justifications for seizing Native land as property, ‘earned’ through one’s labor in clearing and cultivating ‘virgin’ land. … Abolition means self-possession but not object-possession, repatriation but not reparation: [followed by a reading list]. </w:t>
      </w:r>
    </w:p>
    <w:p w14:paraId="6F4B19B8" w14:textId="77777777" w:rsidR="00076776" w:rsidRDefault="00076776">
      <w:pPr>
        <w:ind w:left="720"/>
      </w:pPr>
    </w:p>
    <w:p w14:paraId="2F26947E" w14:textId="77777777" w:rsidR="00076776" w:rsidRDefault="00000000">
      <w:pPr>
        <w:tabs>
          <w:tab w:val="left" w:pos="3800"/>
        </w:tabs>
        <w:ind w:left="720"/>
      </w:pPr>
      <w:r>
        <w:rPr>
          <w:b/>
        </w:rPr>
        <w:t>Critical pedagogies</w:t>
      </w:r>
      <w:r>
        <w:t xml:space="preserve"> … The many critical pedagogies that engage emancipatory education, </w:t>
      </w:r>
      <w:proofErr w:type="gramStart"/>
      <w:r>
        <w:t>place based</w:t>
      </w:r>
      <w:proofErr w:type="gramEnd"/>
      <w:r>
        <w:t xml:space="preserve"> education, environmental education, </w:t>
      </w:r>
      <w:r>
        <w:rPr>
          <w:b/>
        </w:rPr>
        <w:t>critical multiculturalism</w:t>
      </w:r>
      <w:r>
        <w:t>, and urban education often position land as public Commons or seek commonalities between struggles. Although we believe that “we must be fluent” in each other’s stories and struggles (paraphrasing Alexander, 2002, p.91), we detect precisely this lack of fluency in land and Indigenous sovereignty.</w:t>
      </w:r>
    </w:p>
    <w:p w14:paraId="761B67C8"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146964D6"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31 @</w:t>
      </w:r>
      <w:proofErr w:type="gramStart"/>
      <w:r>
        <w:rPr>
          <w:color w:val="000000"/>
        </w:rPr>
        <w:t>Resist!@</w:t>
      </w:r>
      <w:proofErr w:type="gramEnd"/>
      <w:r>
        <w:rPr>
          <w:color w:val="000000"/>
        </w:rPr>
        <w:t>SJ@Decol@Poco@Pow@Ontol</w:t>
      </w:r>
    </w:p>
    <w:p w14:paraId="2A4E1EEA"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 xml:space="preserve">In the section “More on Incommensurability,” an italicized reflection-piece, T&amp;Y sketch the nature of the revolution: </w:t>
      </w:r>
    </w:p>
    <w:p w14:paraId="1204C131"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5B742188"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pPr>
      <w:r>
        <w:rPr>
          <w:i/>
          <w:color w:val="000000"/>
        </w:rPr>
        <w:t xml:space="preserve">Incommensurability is an acknowledgement that decolonization will require a change in the order of the world (Fanon, 1963). This is not to say that Indigenous peoples or Black and brown peoples take positions of dominance over white settlers; the goal is not for everyone to merely swap spots on the settler-colonial triad, to take another turn on the merry-go-round. The goal is to break the relentless structuring of the triad - a break and not a compromise (Memmi, 1991). ... </w:t>
      </w:r>
      <w:r>
        <w:rPr>
          <w:b/>
          <w:i/>
          <w:color w:val="000000"/>
        </w:rPr>
        <w:t>Decolonization is not equivocal to other anti-colonial struggles</w:t>
      </w:r>
      <w:r>
        <w:rPr>
          <w:color w:val="000000"/>
        </w:rPr>
        <w:t>. [35] “</w:t>
      </w:r>
      <w:r>
        <w:rPr>
          <w:i/>
          <w:color w:val="000000"/>
        </w:rPr>
        <w:t>Geopolitics and biopolitics are completely knotted together in a settler colonial context.”</w:t>
      </w:r>
    </w:p>
    <w:p w14:paraId="1137491B"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10FC5D77"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highlight w:val="green"/>
        </w:rPr>
        <w:t>36</w:t>
      </w:r>
      <w:r>
        <w:rPr>
          <w:color w:val="000000"/>
        </w:rPr>
        <w:t xml:space="preserve"> @Contracolonial@SJ@Hegem@Resist!</w:t>
      </w:r>
    </w:p>
    <w:p w14:paraId="3C9A4ABD"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pPr>
      <w:r>
        <w:rPr>
          <w:b/>
          <w:color w:val="000000"/>
        </w:rPr>
        <w:t>Reconciliation is about rescuing settler normalcy, about rescuing a settler future.</w:t>
      </w:r>
      <w:r>
        <w:rPr>
          <w:color w:val="000000"/>
        </w:rPr>
        <w:t xml:space="preserve"> Reconciliation is concerned with questions of </w:t>
      </w:r>
      <w:r>
        <w:rPr>
          <w:i/>
          <w:color w:val="000000"/>
        </w:rPr>
        <w:t xml:space="preserve">what will decolonization look like? What will happen after abolition? What will be the consequences of decolonization for the settler? </w:t>
      </w:r>
      <w:r>
        <w:rPr>
          <w:color w:val="000000"/>
        </w:rPr>
        <w:t xml:space="preserve">Incommensurability acknowledges that these questions need not, and perhaps cannot, be answered </w:t>
      </w:r>
      <w:proofErr w:type="gramStart"/>
      <w:r>
        <w:rPr>
          <w:color w:val="000000"/>
        </w:rPr>
        <w:t>in order for</w:t>
      </w:r>
      <w:proofErr w:type="gramEnd"/>
      <w:r>
        <w:rPr>
          <w:color w:val="000000"/>
        </w:rPr>
        <w:t xml:space="preserve"> decolonization to exist as a framework. / We want to say, first, that decolonization is not obliged to answer those questions </w:t>
      </w:r>
      <w:r>
        <w:rPr>
          <w:b/>
          <w:color w:val="000000"/>
        </w:rPr>
        <w:t>- decolonization is not accountable to settlers, or settler futurity. Decolonization is accountable to Indigenous sovereignty and futurity.</w:t>
      </w:r>
    </w:p>
    <w:p w14:paraId="06320A75"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48C7DD28" w14:textId="77777777" w:rsidR="00076776" w:rsidRDefault="00000000">
      <w:pPr>
        <w:pStyle w:val="Heading2"/>
      </w:pPr>
      <w:r>
        <w:t>Secondary quotes</w:t>
      </w:r>
    </w:p>
    <w:p w14:paraId="367C1947"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5 “</w:t>
      </w:r>
      <w:r>
        <w:rPr>
          <w:color w:val="000000"/>
        </w:rPr>
        <w:t xml:space="preserve">Our intention in this descriptive exercise </w:t>
      </w:r>
      <w:proofErr w:type="gramStart"/>
      <w:r>
        <w:rPr>
          <w:color w:val="000000"/>
        </w:rPr>
        <w:t>is not be</w:t>
      </w:r>
      <w:proofErr w:type="gramEnd"/>
      <w:r>
        <w:rPr>
          <w:color w:val="000000"/>
        </w:rPr>
        <w:t xml:space="preserve"> exhaustive, or even inarguable…” / “</w:t>
      </w:r>
      <w:r>
        <w:rPr>
          <w:color w:val="000000"/>
          <w:highlight w:val="magenta"/>
        </w:rPr>
        <w:t>Patrick Wolfe</w:t>
      </w:r>
      <w:r>
        <w:rPr>
          <w:color w:val="000000"/>
        </w:rPr>
        <w:t xml:space="preserve"> (1999) emphasizes that settler colonialism is a structure and not an event.” / 6 </w:t>
      </w:r>
      <w:r>
        <w:rPr>
          <w:b/>
          <w:color w:val="000000"/>
        </w:rPr>
        <w:t>On slavery</w:t>
      </w:r>
      <w:r>
        <w:rPr>
          <w:color w:val="000000"/>
        </w:rPr>
        <w:t xml:space="preserve">: At the same time, settler colonialism involves the subjugation and forced labor of </w:t>
      </w:r>
      <w:r>
        <w:rPr>
          <w:b/>
          <w:color w:val="000000"/>
        </w:rPr>
        <w:t>chattel slaves</w:t>
      </w:r>
      <w:r>
        <w:rPr>
          <w:color w:val="000000"/>
        </w:rPr>
        <w:t xml:space="preserve">, whose bodies and lives become the property, and who are kept landless. … the slave is a desirable </w:t>
      </w:r>
      <w:proofErr w:type="gramStart"/>
      <w:r>
        <w:rPr>
          <w:color w:val="000000"/>
        </w:rPr>
        <w:t>commodity</w:t>
      </w:r>
      <w:proofErr w:type="gramEnd"/>
      <w:r>
        <w:rPr>
          <w:color w:val="000000"/>
        </w:rPr>
        <w:t xml:space="preserve"> but the person underneath is imprisonable, punishable, and murderable. The violence of keeping/killing the chattel slave makes them deathlike monsters in the settler imagination; they are reconfigured/disfigured as the threat, the razor’s edge of safety and terror.” / 7 @Racial “</w:t>
      </w:r>
      <w:r>
        <w:rPr>
          <w:b/>
          <w:color w:val="000000"/>
        </w:rPr>
        <w:t>Settlers are diverse</w:t>
      </w:r>
      <w:r>
        <w:rPr>
          <w:color w:val="000000"/>
        </w:rPr>
        <w:t xml:space="preserve">, not just of white European descent, and include </w:t>
      </w:r>
      <w:r>
        <w:rPr>
          <w:color w:val="000000"/>
        </w:rPr>
        <w:lastRenderedPageBreak/>
        <w:t xml:space="preserve">people of color, even from other colonial contexts.” / 8 “…Liberal Arts education has historically excluded any attention to or analysis of settler colonialism…”/ “Philip Deloria (1998) explores how and why the settler wants to be made indigenous, even if only through disguise, or other forms of </w:t>
      </w:r>
      <w:r>
        <w:rPr>
          <w:b/>
          <w:i/>
          <w:color w:val="000000"/>
        </w:rPr>
        <w:t>playing Indian</w:t>
      </w:r>
      <w:r>
        <w:rPr>
          <w:color w:val="000000"/>
        </w:rPr>
        <w:t>.” / 10 “Vine Deloria Jr. … the Indian-grandmother complex …” / 12 “</w:t>
      </w:r>
      <w:r>
        <w:rPr>
          <w:color w:val="000000"/>
          <w:highlight w:val="magenta"/>
        </w:rPr>
        <w:t xml:space="preserve">Kim </w:t>
      </w:r>
      <w:proofErr w:type="spellStart"/>
      <w:r>
        <w:rPr>
          <w:color w:val="000000"/>
          <w:highlight w:val="magenta"/>
        </w:rPr>
        <w:t>Tallbear</w:t>
      </w:r>
      <w:proofErr w:type="spellEnd"/>
      <w:r>
        <w:rPr>
          <w:color w:val="000000"/>
        </w:rPr>
        <w:t xml:space="preserve"> [Dakota scholar] argues that the one-drop rule … whereby any amount of African ancestry, no matter how remote, and regardless of phenotypical appearance, makes a person Black. (p. 387)” / Wolfe and “half-breeds” / 14 “</w:t>
      </w:r>
      <w:r>
        <w:rPr>
          <w:i/>
          <w:color w:val="000000"/>
        </w:rPr>
        <w:t>Dances with Wolves</w:t>
      </w:r>
      <w:r>
        <w:rPr>
          <w:color w:val="000000"/>
        </w:rPr>
        <w:t>” / Johnny Depp / “…we are interested in how this narrative spins a fantasy that an individual settler can become innocent, indeed heroic and indigenized, against a backdrop of national guilt.” / 15 “</w:t>
      </w:r>
      <w:r>
        <w:rPr>
          <w:i/>
          <w:color w:val="000000"/>
        </w:rPr>
        <w:t>The Last of Mohicans</w:t>
      </w:r>
      <w:r>
        <w:rPr>
          <w:color w:val="000000"/>
        </w:rPr>
        <w:t xml:space="preserve">” / 16 @Eco </w:t>
      </w:r>
      <w:proofErr w:type="spellStart"/>
      <w:r>
        <w:rPr>
          <w:color w:val="000000"/>
        </w:rPr>
        <w:t>R.e</w:t>
      </w:r>
      <w:proofErr w:type="spellEnd"/>
      <w:r>
        <w:rPr>
          <w:color w:val="000000"/>
        </w:rPr>
        <w:t xml:space="preserve">, the “adopted Indian:” “In today’s jargon, he could be thought of as an eco-activist, naturalist, and Indian sympathizer.” / 17 “people of color who enter/are brought into the settler colonial nation-state also enter the triad of relations between </w:t>
      </w:r>
      <w:r>
        <w:rPr>
          <w:b/>
          <w:color w:val="000000"/>
        </w:rPr>
        <w:t>settler-native-slave</w:t>
      </w:r>
      <w:r>
        <w:rPr>
          <w:color w:val="000000"/>
        </w:rPr>
        <w:t>.” / 18 “Aleut internment during WWII…” / 18 “…certain minorities can at times become model and quasi-assimilable (as exemplified by Asian settler colonialism, civil rights, model minority discourse, and the use of ‘</w:t>
      </w:r>
      <w:proofErr w:type="spellStart"/>
      <w:r>
        <w:rPr>
          <w:color w:val="000000"/>
        </w:rPr>
        <w:t>hispanic</w:t>
      </w:r>
      <w:proofErr w:type="spellEnd"/>
      <w:r>
        <w:rPr>
          <w:color w:val="000000"/>
        </w:rPr>
        <w:t xml:space="preserve">’ as an ethnic category to mean both white and non-white) yet, in times of crisis, revert to the status of foreign contagions (as exemplified by Japanese Internment, Islamophobia, Chinese Exclusion, Red Scare, anti-Irish nativism, WWII anti- </w:t>
      </w:r>
      <w:proofErr w:type="spellStart"/>
      <w:r>
        <w:rPr>
          <w:color w:val="000000"/>
        </w:rPr>
        <w:t>semitism</w:t>
      </w:r>
      <w:proofErr w:type="spellEnd"/>
      <w:r>
        <w:rPr>
          <w:color w:val="000000"/>
        </w:rPr>
        <w:t xml:space="preserve">, and anti-Mexican-immigration).” / “Indeed, even the ability to be a minority citizen in the settler nation means an option to become a brown settler. For many people of color, becoming a subordinate settler is an option even when becoming white is not.” / 19 “…differences between </w:t>
      </w:r>
      <w:r>
        <w:rPr>
          <w:color w:val="000000"/>
          <w:highlight w:val="magenta"/>
        </w:rPr>
        <w:t>Freire and Fanon</w:t>
      </w:r>
      <w:r>
        <w:rPr>
          <w:color w:val="000000"/>
        </w:rPr>
        <w:t xml:space="preserve">, especially </w:t>
      </w:r>
      <w:proofErr w:type="gramStart"/>
      <w:r>
        <w:rPr>
          <w:color w:val="000000"/>
        </w:rPr>
        <w:t>with regard to</w:t>
      </w:r>
      <w:proofErr w:type="gramEnd"/>
      <w:r>
        <w:rPr>
          <w:color w:val="000000"/>
        </w:rPr>
        <w:t xml:space="preserve"> de/colonization… / </w:t>
      </w:r>
      <w:proofErr w:type="gramStart"/>
      <w:r>
        <w:rPr>
          <w:color w:val="000000"/>
        </w:rPr>
        <w:t>20  “</w:t>
      </w:r>
      <w:proofErr w:type="gramEnd"/>
      <w:r>
        <w:rPr>
          <w:color w:val="000000"/>
        </w:rPr>
        <w:t xml:space="preserve">Freire’s theories of liberation resoundingly echo the allegory of </w:t>
      </w:r>
      <w:r>
        <w:rPr>
          <w:b/>
          <w:color w:val="000000"/>
        </w:rPr>
        <w:t>Plato’s Cave</w:t>
      </w:r>
      <w:r>
        <w:rPr>
          <w:color w:val="000000"/>
        </w:rPr>
        <w:t xml:space="preserve">, a continental philosophy of mental emancipation, whereby the thinking man individualistically emerges from the dark cave of ignorance into the light of critical consciousness.” / @Arg@Decol: “Freire’s philosophies have encouraged educators to use “colonization” as a metaphor for oppression. In such a paradigm, “internal colonization” reduces to “mental colonization”, logically leading to the solution of decolonizing one’s mind and the rest will follow.” / 24 “… the </w:t>
      </w:r>
      <w:r>
        <w:rPr>
          <w:b/>
          <w:color w:val="000000"/>
        </w:rPr>
        <w:t>Occupy movement</w:t>
      </w:r>
      <w:r>
        <w:rPr>
          <w:color w:val="000000"/>
        </w:rPr>
        <w:t xml:space="preserve">.” </w:t>
      </w:r>
      <w:proofErr w:type="gramStart"/>
      <w:r>
        <w:rPr>
          <w:color w:val="000000"/>
        </w:rPr>
        <w:t>And,</w:t>
      </w:r>
      <w:proofErr w:type="gramEnd"/>
      <w:r>
        <w:rPr>
          <w:color w:val="000000"/>
        </w:rPr>
        <w:t xml:space="preserve"> see figures on pages 24 &amp; 25 / 26 “… the limitations to “solidarity,” without the willingness to acknowledge stolen land and how stolen land benefits settlers.” / “… parallels between Occupy/Decolonize and the French/Haitian Revolutions of 1789-1799 and 1791-1804…” / 31-32 @Eco “</w:t>
      </w:r>
      <w:r>
        <w:rPr>
          <w:i/>
          <w:color w:val="000000"/>
        </w:rPr>
        <w:t>Oil is the motor and motive for war and so was salt, so will be water</w:t>
      </w:r>
      <w:r>
        <w:rPr>
          <w:color w:val="000000"/>
        </w:rPr>
        <w:t xml:space="preserve">.” / </w:t>
      </w:r>
      <w:r>
        <w:rPr>
          <w:i/>
          <w:color w:val="000000"/>
        </w:rPr>
        <w:t xml:space="preserve">“Indian Country” was/is the term used in Viet Nam, Afghanistan, Iraq by the U.S. military for ‘enemy territory’. … where they said Geronimo has been killed, and </w:t>
      </w:r>
      <w:r>
        <w:rPr>
          <w:b/>
          <w:i/>
          <w:color w:val="000000"/>
        </w:rPr>
        <w:t>Geronimo was the code name for bin Laden</w:t>
      </w:r>
      <w:r>
        <w:rPr>
          <w:color w:val="000000"/>
        </w:rPr>
        <w:t xml:space="preserve">.”/ 32 “… </w:t>
      </w:r>
      <w:r>
        <w:rPr>
          <w:b/>
          <w:i/>
          <w:color w:val="000000"/>
        </w:rPr>
        <w:t>racial science developed in the U.S.</w:t>
      </w:r>
      <w:r>
        <w:rPr>
          <w:i/>
          <w:color w:val="000000"/>
        </w:rPr>
        <w:t xml:space="preserve"> (a settler colonial racial science) informed </w:t>
      </w:r>
      <w:r>
        <w:rPr>
          <w:b/>
          <w:i/>
          <w:color w:val="000000"/>
        </w:rPr>
        <w:t>Hitler’s</w:t>
      </w:r>
      <w:r>
        <w:rPr>
          <w:i/>
          <w:color w:val="000000"/>
        </w:rPr>
        <w:t xml:space="preserve"> designs on racial purity (“This book is my bible” he said of Madison Grant’s The Passing of the Great Race).</w:t>
      </w:r>
    </w:p>
    <w:p w14:paraId="51E29926" w14:textId="77777777" w:rsidR="00076776" w:rsidRDefault="00076776"/>
    <w:p w14:paraId="7D1A3745" w14:textId="77777777" w:rsidR="00076776" w:rsidRDefault="00000000">
      <w:pPr>
        <w:pStyle w:val="Heading2"/>
      </w:pPr>
      <w:r>
        <w:t>Notes</w:t>
      </w:r>
    </w:p>
    <w:p w14:paraId="71C7448E" w14:textId="77777777" w:rsidR="00076776" w:rsidRDefault="00000000">
      <w:r>
        <w:t>2 @FFessay@DECOL</w:t>
      </w:r>
    </w:p>
    <w:p w14:paraId="049DEA69" w14:textId="77777777" w:rsidR="00076776" w:rsidRDefault="00000000">
      <w:r>
        <w:t xml:space="preserve">This speaks to McPherson’s notion of what I call incorporation through demarcation: Indigenous Peoples’ specific identities and real-world sociopolitical injustices are subsumed into the larger, settler-identity designation of “ethnic group,” and therefore become a nodal category in the settler web of non-settler identities. </w:t>
      </w:r>
    </w:p>
    <w:p w14:paraId="39366422" w14:textId="77777777" w:rsidR="00076776" w:rsidRDefault="00076776"/>
    <w:p w14:paraId="76AC49B6" w14:textId="77777777" w:rsidR="00076776" w:rsidRDefault="00000000">
      <w:pPr>
        <w:ind w:left="720"/>
      </w:pPr>
      <w:r>
        <w:t>“…</w:t>
      </w:r>
      <w:r>
        <w:rPr>
          <w:color w:val="000000"/>
        </w:rPr>
        <w:t xml:space="preserve">to include Indigenous peoples on the list of considerations - as an additional special (ethnic) group or class.” </w:t>
      </w:r>
    </w:p>
    <w:p w14:paraId="4A94B165" w14:textId="77777777" w:rsidR="00076776" w:rsidRDefault="00076776">
      <w:pPr>
        <w:rPr>
          <w:color w:val="000000"/>
        </w:rPr>
      </w:pPr>
    </w:p>
    <w:p w14:paraId="45664748" w14:textId="77777777" w:rsidR="00076776" w:rsidRDefault="00000000">
      <w:pPr>
        <w:rPr>
          <w:color w:val="000000"/>
        </w:rPr>
      </w:pPr>
      <w:r>
        <w:rPr>
          <w:color w:val="000000"/>
        </w:rPr>
        <w:t>6 @FFessay@Diss?</w:t>
      </w:r>
    </w:p>
    <w:p w14:paraId="7FC97BF4" w14:textId="77777777" w:rsidR="00076776" w:rsidRDefault="00000000">
      <w:pPr>
        <w:rPr>
          <w:color w:val="000000"/>
        </w:rPr>
      </w:pPr>
      <w:r>
        <w:rPr>
          <w:color w:val="000000"/>
        </w:rPr>
        <w:t>The uncanny erasure: making ghosts of everything Indigenous: “Indigenous peoples must be erased, must be made into ghosts (Tuck and Ree, forthcoming).</w:t>
      </w:r>
    </w:p>
    <w:p w14:paraId="6FA547EF" w14:textId="77777777" w:rsidR="00076776" w:rsidRDefault="00076776"/>
    <w:p w14:paraId="32C58540" w14:textId="77777777" w:rsidR="00076776" w:rsidRDefault="00000000">
      <w:r>
        <w:t xml:space="preserve">15 </w:t>
      </w:r>
      <w:r>
        <w:rPr>
          <w:highlight w:val="green"/>
        </w:rPr>
        <w:t>@FFessay</w:t>
      </w:r>
      <w:r>
        <w:t>@SettPsych@CogDiss@KTerm@UL@Diss?</w:t>
      </w:r>
    </w:p>
    <w:p w14:paraId="5E95B19A" w14:textId="77777777" w:rsidR="00076776" w:rsidRDefault="00000000">
      <w:r>
        <w:t>Curiously, T&amp;Y do not pick up on what I see as “</w:t>
      </w:r>
      <w:r>
        <w:rPr>
          <w:b/>
        </w:rPr>
        <w:t>ontological narcissism</w:t>
      </w:r>
      <w:r>
        <w:t xml:space="preserve">,” here: </w:t>
      </w:r>
    </w:p>
    <w:p w14:paraId="2FCB5A7B" w14:textId="77777777" w:rsidR="00076776" w:rsidRDefault="00076776"/>
    <w:p w14:paraId="275AEBFD" w14:textId="77777777" w:rsidR="00076776" w:rsidRDefault="00000000">
      <w:pPr>
        <w:ind w:left="720"/>
      </w:pPr>
      <w:r>
        <w:rPr>
          <w:color w:val="000000"/>
        </w:rPr>
        <w:t xml:space="preserve">Hawkeye becomes without becoming the last of the Mohicans. </w:t>
      </w:r>
      <w:r>
        <w:rPr>
          <w:i/>
          <w:color w:val="000000"/>
        </w:rPr>
        <w:t xml:space="preserve">You are now one of us, you are now Native. </w:t>
      </w:r>
      <w:r>
        <w:rPr>
          <w:color w:val="000000"/>
        </w:rPr>
        <w:t xml:space="preserve">“The </w:t>
      </w:r>
      <w:proofErr w:type="gramStart"/>
      <w:r>
        <w:rPr>
          <w:color w:val="000000"/>
        </w:rPr>
        <w:t>pale-faces</w:t>
      </w:r>
      <w:proofErr w:type="gramEnd"/>
      <w:r>
        <w:rPr>
          <w:color w:val="000000"/>
        </w:rPr>
        <w:t xml:space="preserve"> are masters of the earth, and the time of the red-men has not yet come again” (Cooper 2000, p.407).</w:t>
      </w:r>
    </w:p>
    <w:p w14:paraId="661C1170" w14:textId="77777777" w:rsidR="00076776" w:rsidRDefault="00076776"/>
    <w:p w14:paraId="5DD5EF4B" w14:textId="77777777" w:rsidR="00076776" w:rsidRDefault="00000000">
      <w:r>
        <w:t>I get that “</w:t>
      </w:r>
      <w:r>
        <w:rPr>
          <w:color w:val="000000"/>
        </w:rPr>
        <w:t xml:space="preserve">Settler fantasies of adoption alleviate the anxiety of settler un-belonging” (15), but this adoption process is also rebirth of sorts and, paradoxically, a re-animalization and civilization process, simultaneously. Perhaps this cognitive dissonance points to the absence of reconciliation with Christian sin, a sin displaced, by the settler psyche, onto its </w:t>
      </w:r>
      <w:r>
        <w:rPr>
          <w:i/>
          <w:color w:val="000000"/>
        </w:rPr>
        <w:t>constructs</w:t>
      </w:r>
      <w:r>
        <w:rPr>
          <w:color w:val="000000"/>
        </w:rPr>
        <w:t xml:space="preserve"> of “Indigenous”—after all, pre-settler-contact Peoples would hardly have to consider the term in absence of the settlers who defined it. Hawkeye’s rebirth has a paternalist/Jesus aspect, too: Jesus for the Jews and now Hawkeye to champion another maligned people in “the fictional tribe ‘Mohicans’” (15). We could extend this list to include “I was Jesus:” “‘I am American’ becomes ‘I was frontiersman, was British, was Indian’” (15). </w:t>
      </w:r>
    </w:p>
    <w:p w14:paraId="734A08E1" w14:textId="77777777" w:rsidR="00076776" w:rsidRDefault="00076776">
      <w:pPr>
        <w:rPr>
          <w:color w:val="000000"/>
        </w:rPr>
      </w:pPr>
    </w:p>
    <w:p w14:paraId="7A438A82" w14:textId="77777777" w:rsidR="00076776" w:rsidRDefault="00000000">
      <w:r>
        <w:rPr>
          <w:color w:val="000000"/>
        </w:rPr>
        <w:t>30 @Eco@L? See “Environmental Education Research, ‘Land Education: Indigenous, postcolonial, and decolonizing perspectives on place and environmental education research’ … a good starting point to consider the incommensurability of place-based, environmentalist, urban pedagogies with land education.”</w:t>
      </w:r>
    </w:p>
    <w:p w14:paraId="0C25974A" w14:textId="77777777" w:rsidR="00076776" w:rsidRDefault="00076776">
      <w:pPr>
        <w:rPr>
          <w:color w:val="000000"/>
        </w:rPr>
      </w:pPr>
    </w:p>
    <w:p w14:paraId="1929A151" w14:textId="77777777" w:rsidR="00076776" w:rsidRDefault="00000000">
      <w:r>
        <w:rPr>
          <w:color w:val="000000"/>
        </w:rPr>
        <w:t xml:space="preserve">32 @Diss </w:t>
      </w:r>
      <w:r>
        <w:rPr>
          <w:i/>
          <w:color w:val="000000"/>
        </w:rPr>
        <w:t>Elmer Pratt, Black Panther leader, falsely imprisoned for 27 years.</w:t>
      </w:r>
      <w:r>
        <w:rPr>
          <w:color w:val="000000"/>
        </w:rPr>
        <w:t xml:space="preserve"> Do some reading on this? </w:t>
      </w:r>
    </w:p>
    <w:p w14:paraId="6D1E5313" w14:textId="77777777" w:rsidR="00076776" w:rsidRDefault="00076776">
      <w:pPr>
        <w:rPr>
          <w:color w:val="000000"/>
        </w:rPr>
      </w:pPr>
    </w:p>
    <w:p w14:paraId="3F65F803"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32 @Diss </w:t>
      </w:r>
      <w:r>
        <w:rPr>
          <w:i/>
          <w:color w:val="000000"/>
        </w:rPr>
        <w:t>The Sterilization Act accompanied the Racial Integrity Act and the Pocohontas Exception</w:t>
      </w:r>
      <w:r>
        <w:rPr>
          <w:color w:val="000000"/>
        </w:rPr>
        <w:t xml:space="preserve">. As above. </w:t>
      </w:r>
    </w:p>
    <w:p w14:paraId="45E86B86"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0071C4C2" w14:textId="77777777" w:rsidR="00076776" w:rsidRDefault="00000000">
      <w:pPr>
        <w:pStyle w:val="Heading1"/>
      </w:pPr>
      <w:bookmarkStart w:id="12" w:name="_heading=h.3rdcrjn" w:colFirst="0" w:colLast="0"/>
      <w:bookmarkEnd w:id="12"/>
      <w:r>
        <w:t>(2014) Simpson, “Land as Pedagogy: Nishnaabeg Intelligence and Rebellious Transformation”</w:t>
      </w:r>
    </w:p>
    <w:p w14:paraId="2795E81F" w14:textId="77777777" w:rsidR="00076776" w:rsidRDefault="00076776"/>
    <w:p w14:paraId="3CF6B618" w14:textId="77777777" w:rsidR="00076776" w:rsidRDefault="00000000">
      <w:pPr>
        <w:pStyle w:val="Heading2"/>
      </w:pPr>
      <w:r>
        <w:t>Abstract</w:t>
      </w:r>
    </w:p>
    <w:p w14:paraId="5FB48AF9" w14:textId="77777777" w:rsidR="00076776" w:rsidRDefault="00000000">
      <w:r>
        <w:t xml:space="preserve">A call to vitalize and grow IK and Nishnaabeg epistemologies outside the academic industrial complex. </w:t>
      </w:r>
    </w:p>
    <w:p w14:paraId="2C44694B" w14:textId="77777777" w:rsidR="00076776" w:rsidRDefault="00076776"/>
    <w:p w14:paraId="57883F3B" w14:textId="77777777" w:rsidR="00076776" w:rsidRDefault="00000000">
      <w:pPr>
        <w:pStyle w:val="Heading2"/>
      </w:pPr>
      <w:r>
        <w:t>Key words</w:t>
      </w:r>
    </w:p>
    <w:p w14:paraId="20EEA43C" w14:textId="77777777" w:rsidR="00076776" w:rsidRDefault="00000000">
      <w:r>
        <w:t xml:space="preserve">Indigenous resurgence, pedagogy, land question, space and place, Nishnaabeg </w:t>
      </w:r>
      <w:proofErr w:type="spellStart"/>
      <w:r>
        <w:t>storyscapes</w:t>
      </w:r>
      <w:proofErr w:type="spellEnd"/>
    </w:p>
    <w:p w14:paraId="7E1F578D" w14:textId="77777777" w:rsidR="00076776" w:rsidRDefault="00076776"/>
    <w:p w14:paraId="136EC08D" w14:textId="77777777" w:rsidR="00076776" w:rsidRDefault="00000000">
      <w:pPr>
        <w:pStyle w:val="Heading2"/>
      </w:pPr>
      <w:r>
        <w:lastRenderedPageBreak/>
        <w:t>Essential quote</w:t>
      </w:r>
    </w:p>
    <w:p w14:paraId="1ADD8C29" w14:textId="77777777" w:rsidR="00076776" w:rsidRDefault="00000000">
      <w:r>
        <w:t xml:space="preserve">14:  To create a nation of </w:t>
      </w:r>
      <w:proofErr w:type="spellStart"/>
      <w:r>
        <w:t>Kwezens</w:t>
      </w:r>
      <w:proofErr w:type="spellEnd"/>
      <w:r>
        <w:t xml:space="preserve"> – to survive</w:t>
      </w:r>
      <w:r>
        <w:rPr>
          <w:i/>
        </w:rPr>
        <w:t xml:space="preserve"> as Nishnaabeg</w:t>
      </w:r>
      <w:r>
        <w:t xml:space="preserve"> – we shouldn’t be just striving for land-based pedagogies. The land must once again </w:t>
      </w:r>
      <w:r>
        <w:rPr>
          <w:i/>
        </w:rPr>
        <w:t>become</w:t>
      </w:r>
      <w:r>
        <w:t xml:space="preserve"> the pedagogy.</w:t>
      </w:r>
    </w:p>
    <w:p w14:paraId="4056B771" w14:textId="77777777" w:rsidR="00076776" w:rsidRDefault="00076776"/>
    <w:p w14:paraId="59C84CE1" w14:textId="77777777" w:rsidR="00076776" w:rsidRDefault="00000000">
      <w:pPr>
        <w:pStyle w:val="Heading2"/>
      </w:pPr>
      <w:r>
        <w:t>Terms</w:t>
      </w:r>
    </w:p>
    <w:p w14:paraId="743A43FA" w14:textId="77777777" w:rsidR="00076776" w:rsidRDefault="00000000">
      <w:r>
        <w:t xml:space="preserve">6: </w:t>
      </w:r>
      <w:r>
        <w:rPr>
          <w:b/>
        </w:rPr>
        <w:t>Nishnaabeg values</w:t>
      </w:r>
      <w:r>
        <w:t xml:space="preserve">: love, compassion and understanding. </w:t>
      </w:r>
    </w:p>
    <w:p w14:paraId="7A4ED1C4" w14:textId="77777777" w:rsidR="00076776" w:rsidRDefault="00000000">
      <w:r>
        <w:t xml:space="preserve">6: </w:t>
      </w:r>
      <w:r>
        <w:rPr>
          <w:b/>
        </w:rPr>
        <w:t>Nishnaabeg intelligence:</w:t>
      </w:r>
      <w:r>
        <w:t xml:space="preserve"> [@IK@EPistem] ... observation and learning from our animal teachers, when she watches the squirrel so carefully and then mimics its actions. She understands embodiment and conceptual thought, when she then takes this observation and applies it to her own situation ... [7] this is what coming into wisdom within a Michi </w:t>
      </w:r>
      <w:proofErr w:type="spellStart"/>
      <w:r>
        <w:t>Saagiig</w:t>
      </w:r>
      <w:proofErr w:type="spellEnd"/>
      <w:r>
        <w:t xml:space="preserve"> </w:t>
      </w:r>
      <w:proofErr w:type="spellStart"/>
      <w:r>
        <w:rPr>
          <w:b/>
        </w:rPr>
        <w:t>Nishnaabe</w:t>
      </w:r>
      <w:proofErr w:type="spellEnd"/>
      <w:r>
        <w:rPr>
          <w:b/>
        </w:rPr>
        <w:t xml:space="preserve"> epistemology </w:t>
      </w:r>
      <w:r>
        <w:t xml:space="preserve">looks like – it takes place in the context of family, community and relations. It lacks overt coercion and </w:t>
      </w:r>
      <w:proofErr w:type="gramStart"/>
      <w:r>
        <w:t>authority,</w:t>
      </w:r>
      <w:proofErr w:type="gramEnd"/>
      <w:r>
        <w:t xml:space="preserve"> values so normalized within mainstream western pedagogy that they are rarely ever critiqued. The land, </w:t>
      </w:r>
      <w:proofErr w:type="spellStart"/>
      <w:r>
        <w:t>aki</w:t>
      </w:r>
      <w:proofErr w:type="spellEnd"/>
      <w:r>
        <w:t xml:space="preserve">, is both context and process. The process of coming to know is learner-led and profoundly spiritual in nature.16 Coming to know is the pursuit of </w:t>
      </w:r>
      <w:proofErr w:type="gramStart"/>
      <w:r>
        <w:t>whole body</w:t>
      </w:r>
      <w:proofErr w:type="gramEnd"/>
      <w:r>
        <w:t xml:space="preserve"> intelligence practiced in the context of freedom, and when realized collectively it generates generations of loving, creative, innovative, self-determining, inter-dependent and self-regulating community minded individuals. It creates communities of individuals with the capacity to uphold and move forward our political traditions and systems of governance.</w:t>
      </w:r>
    </w:p>
    <w:p w14:paraId="3CD24776" w14:textId="77777777" w:rsidR="00076776" w:rsidRDefault="00000000">
      <w:r>
        <w:t xml:space="preserve">7: </w:t>
      </w:r>
      <w:r>
        <w:rPr>
          <w:b/>
        </w:rPr>
        <w:t>theory</w:t>
      </w:r>
      <w:r>
        <w:t>:  an explanation of a phenomenon, and Nishnaabeg stories in this way form the theoretical basis of our intelligence. But theory also works a little differently within Nishnaabeg thought. “Theory” is generated and regenerated continually through embodied practice and within each family, community and generation of people. “Theory” isn’t just an intellectual pursuit – it is woven within kinetics, spiritual presence and emotion, it is contextual and relational. It is intimate and personal, with</w:t>
      </w:r>
    </w:p>
    <w:p w14:paraId="6A0C4C10" w14:textId="77777777" w:rsidR="00076776" w:rsidRDefault="00000000">
      <w:r>
        <w:t>individuals themselves holding the responsibilities for finding and generating meaning within</w:t>
      </w:r>
    </w:p>
    <w:p w14:paraId="74CEE59D" w14:textId="77777777" w:rsidR="00076776" w:rsidRDefault="00000000">
      <w:r>
        <w:t>their own lives. // Most importantly, “theory” isn’t just for academics; it’s for everyone. ... generated from the ground up and its power stems from its living resonance within individuals</w:t>
      </w:r>
    </w:p>
    <w:p w14:paraId="404BB624" w14:textId="77777777" w:rsidR="00076776" w:rsidRDefault="00000000">
      <w:r>
        <w:t>and collectives.</w:t>
      </w:r>
    </w:p>
    <w:p w14:paraId="33975187" w14:textId="77777777" w:rsidR="00076776" w:rsidRDefault="00000000">
      <w:r>
        <w:t xml:space="preserve">10: </w:t>
      </w:r>
      <w:r>
        <w:rPr>
          <w:b/>
        </w:rPr>
        <w:t>Nishnaabeg-</w:t>
      </w:r>
      <w:proofErr w:type="spellStart"/>
      <w:r>
        <w:rPr>
          <w:b/>
        </w:rPr>
        <w:t>Gikendaasowin</w:t>
      </w:r>
      <w:proofErr w:type="spellEnd"/>
      <w:r>
        <w:t xml:space="preserve">, or </w:t>
      </w:r>
      <w:r>
        <w:rPr>
          <w:b/>
        </w:rPr>
        <w:t>Nishnaabeg knowledge</w:t>
      </w:r>
      <w:r>
        <w:t>: [@IK] ... originates in the spiritual</w:t>
      </w:r>
    </w:p>
    <w:p w14:paraId="4F1F88B3" w14:textId="77777777" w:rsidR="00076776" w:rsidRDefault="00000000">
      <w:r>
        <w:t xml:space="preserve">realm, coming to individuals through dreams, visions, ceremony and through the process of </w:t>
      </w:r>
      <w:proofErr w:type="spellStart"/>
      <w:r>
        <w:t>gaaizhi-zhaawendaagoziyaang</w:t>
      </w:r>
      <w:proofErr w:type="spellEnd"/>
      <w:r>
        <w:t xml:space="preserve"> – that which is given lovingly to us by the spirits (</w:t>
      </w:r>
      <w:proofErr w:type="spellStart"/>
      <w:r>
        <w:t>Geniusz</w:t>
      </w:r>
      <w:proofErr w:type="spellEnd"/>
      <w:r>
        <w:t>, 2009, p.</w:t>
      </w:r>
    </w:p>
    <w:p w14:paraId="07CC2102" w14:textId="77777777" w:rsidR="00076776" w:rsidRDefault="00000000">
      <w:r>
        <w:t xml:space="preserve">67). This makes sense because this is the place where our ancestors reside, </w:t>
      </w:r>
      <w:proofErr w:type="gramStart"/>
      <w:r>
        <w:t>where</w:t>
      </w:r>
      <w:proofErr w:type="gramEnd"/>
      <w:r>
        <w:t xml:space="preserve"> spiritual beings</w:t>
      </w:r>
    </w:p>
    <w:p w14:paraId="3D1B055F" w14:textId="77777777" w:rsidR="00076776" w:rsidRDefault="00000000">
      <w:r>
        <w:t xml:space="preserve">exist, and where the spirits of living plants, animals and humans interact. </w:t>
      </w:r>
      <w:proofErr w:type="gramStart"/>
      <w:r>
        <w:t>In order to</w:t>
      </w:r>
      <w:proofErr w:type="gramEnd"/>
      <w:r>
        <w:t xml:space="preserve"> gain access</w:t>
      </w:r>
    </w:p>
    <w:p w14:paraId="50A9D777" w14:textId="77777777" w:rsidR="00076776" w:rsidRDefault="00000000">
      <w:r>
        <w:t xml:space="preserve">to this knowledge, one </w:t>
      </w:r>
      <w:proofErr w:type="gramStart"/>
      <w:r>
        <w:t>has to</w:t>
      </w:r>
      <w:proofErr w:type="gramEnd"/>
      <w:r>
        <w:t xml:space="preserve"> align themselves within and with the forces of the implicate order21</w:t>
      </w:r>
    </w:p>
    <w:p w14:paraId="1EBBD4C9" w14:textId="77777777" w:rsidR="00076776" w:rsidRDefault="00000000">
      <w:r>
        <w:t>through ceremony, ritual and the embodiment of the teachings one already carries (Henderson</w:t>
      </w:r>
    </w:p>
    <w:p w14:paraId="26DEF3B8" w14:textId="77777777" w:rsidR="00076776" w:rsidRDefault="00000000">
      <w:r>
        <w:t>2000).</w:t>
      </w:r>
    </w:p>
    <w:p w14:paraId="5238A55F" w14:textId="77777777" w:rsidR="00076776" w:rsidRDefault="00000000">
      <w:r>
        <w:t>10:</w:t>
      </w:r>
      <w:r>
        <w:rPr>
          <w:b/>
        </w:rPr>
        <w:t xml:space="preserve"> Gaa-</w:t>
      </w:r>
      <w:proofErr w:type="spellStart"/>
      <w:r>
        <w:rPr>
          <w:b/>
        </w:rPr>
        <w:t>izhizhaawendaagoziyaang</w:t>
      </w:r>
      <w:proofErr w:type="spellEnd"/>
      <w:r>
        <w:t xml:space="preserve">: On empathy and pity and Borrows: “... requires love, the word </w:t>
      </w:r>
      <w:proofErr w:type="spellStart"/>
      <w:r>
        <w:t>zhaawen</w:t>
      </w:r>
      <w:proofErr w:type="spellEnd"/>
      <w:r>
        <w:t>, a part of the word Gaa-</w:t>
      </w:r>
      <w:proofErr w:type="spellStart"/>
      <w:r>
        <w:t>izhizhaawendaagoziyaang</w:t>
      </w:r>
      <w:proofErr w:type="spellEnd"/>
      <w:r>
        <w:t xml:space="preserve">, means to have complete “compassion for another in one’s thoughts and mind. It has a connotation of bestowing kindness, mercy, and aid. It includes ideas of pity, empathy and deep unconditional love” (Borrows, </w:t>
      </w:r>
      <w:r>
        <w:lastRenderedPageBreak/>
        <w:t xml:space="preserve">2014).” See Borrows quote, thereafter: [11] The idea of </w:t>
      </w:r>
      <w:proofErr w:type="spellStart"/>
      <w:r>
        <w:rPr>
          <w:b/>
        </w:rPr>
        <w:t>zhawenjige</w:t>
      </w:r>
      <w:proofErr w:type="spellEnd"/>
      <w:r>
        <w:t xml:space="preserve"> is said to be part of an old treaty the Anishinaabe made with the</w:t>
      </w:r>
    </w:p>
    <w:p w14:paraId="622D0AF2" w14:textId="77777777" w:rsidR="00076776" w:rsidRDefault="00000000">
      <w:r>
        <w:t xml:space="preserve">animals. </w:t>
      </w:r>
      <w:proofErr w:type="gramStart"/>
      <w:r>
        <w:t>As long as</w:t>
      </w:r>
      <w:proofErr w:type="gramEnd"/>
      <w:r>
        <w:t xml:space="preserve"> we love </w:t>
      </w:r>
      <w:proofErr w:type="gramStart"/>
      <w:r>
        <w:t>them</w:t>
      </w:r>
      <w:proofErr w:type="gramEnd"/>
      <w:r>
        <w:t xml:space="preserve"> they will provide for us, and teach us about love and how to live well in the world” (p. 11)</w:t>
      </w:r>
    </w:p>
    <w:p w14:paraId="7509D328" w14:textId="77777777" w:rsidR="00076776" w:rsidRDefault="00000000">
      <w:r>
        <w:t xml:space="preserve">13: </w:t>
      </w:r>
      <w:r>
        <w:rPr>
          <w:b/>
        </w:rPr>
        <w:t>heteropatriarchal</w:t>
      </w:r>
      <w:r>
        <w:t xml:space="preserve"> </w:t>
      </w:r>
    </w:p>
    <w:p w14:paraId="14F69F4B" w14:textId="77777777" w:rsidR="00076776" w:rsidRDefault="00000000">
      <w:r>
        <w:t xml:space="preserve">14: </w:t>
      </w:r>
      <w:proofErr w:type="spellStart"/>
      <w:r>
        <w:rPr>
          <w:b/>
        </w:rPr>
        <w:t>gikinawaabiwin</w:t>
      </w:r>
      <w:proofErr w:type="spellEnd"/>
      <w:r>
        <w:t>: [</w:t>
      </w:r>
      <w:r>
        <w:rPr>
          <w:highlight w:val="cyan"/>
        </w:rPr>
        <w:t>Borrows</w:t>
      </w:r>
      <w:r>
        <w:t xml:space="preserve"> quote] “The Anishinaabe have long taken direction about how we should live through our interactions and observations with the environment. People regulate their behavior and resolve their disputes by drawing guidance from what they see in the behavior of the sun, moon, stars, winds, waves, trees, birds, animals, and other natural phenomenon. The Anishinaabe word for this concept is </w:t>
      </w:r>
      <w:proofErr w:type="spellStart"/>
      <w:r>
        <w:t>gikinawaabiwin</w:t>
      </w:r>
      <w:proofErr w:type="spellEnd"/>
      <w:r>
        <w:t xml:space="preserve">. </w:t>
      </w:r>
    </w:p>
    <w:p w14:paraId="5449BA2A" w14:textId="77777777" w:rsidR="00076776" w:rsidRDefault="00000000">
      <w:r>
        <w:t xml:space="preserve">14-15: </w:t>
      </w:r>
      <w:proofErr w:type="spellStart"/>
      <w:r>
        <w:rPr>
          <w:b/>
        </w:rPr>
        <w:t>aki</w:t>
      </w:r>
      <w:proofErr w:type="spellEnd"/>
      <w:r>
        <w:t xml:space="preserve">: [akin to “land,” but more] Aki includes all aspects of creation: </w:t>
      </w:r>
      <w:proofErr w:type="gramStart"/>
      <w:r>
        <w:t>land forms</w:t>
      </w:r>
      <w:proofErr w:type="gramEnd"/>
      <w:r>
        <w:t xml:space="preserve">, elements, plants, animals, spirits, sounds, thoughts, feelings, energies and </w:t>
      </w:r>
      <w:proofErr w:type="gramStart"/>
      <w:r>
        <w:t>all of</w:t>
      </w:r>
      <w:proofErr w:type="gramEnd"/>
      <w:r>
        <w:t xml:space="preserve"> the emergent systems, ecologies and networks that connect these elements. [16</w:t>
      </w:r>
      <w:proofErr w:type="gramStart"/>
      <w:r>
        <w:t>]  Aki</w:t>
      </w:r>
      <w:proofErr w:type="gramEnd"/>
      <w:r>
        <w:t xml:space="preserve"> is also liberation and freedom - my freedom to establish and maintain relationships of deep reciprocity within a pristine homeland that my ancestors handed down to me. Aki is encompassed by freedom, a freedom that is protected by sovereignty and actualized by self-determination. [17-18</w:t>
      </w:r>
      <w:proofErr w:type="gramStart"/>
      <w:r>
        <w:t>]  If</w:t>
      </w:r>
      <w:proofErr w:type="gramEnd"/>
      <w:r>
        <w:t xml:space="preserve"> you want to learn about something, you need to take your body onto the land and do it. Get a practice.</w:t>
      </w:r>
      <w:proofErr w:type="gramStart"/>
      <w:r>
        <w:rPr>
          <w:vertAlign w:val="superscript"/>
        </w:rPr>
        <w:t xml:space="preserve">35  </w:t>
      </w:r>
      <w:r>
        <w:t>...</w:t>
      </w:r>
      <w:proofErr w:type="gramEnd"/>
      <w:r>
        <w:t xml:space="preserve"> </w:t>
      </w:r>
      <w:r>
        <w:rPr>
          <w:b/>
        </w:rPr>
        <w:t>learning changes when the relational context changes.</w:t>
      </w:r>
      <w:r>
        <w:t xml:space="preserve"> </w:t>
      </w:r>
    </w:p>
    <w:p w14:paraId="2B77C6C2" w14:textId="77777777" w:rsidR="00076776" w:rsidRDefault="00000000">
      <w:r>
        <w:t xml:space="preserve">15: </w:t>
      </w:r>
      <w:r>
        <w:rPr>
          <w:b/>
        </w:rPr>
        <w:t>coming to know</w:t>
      </w:r>
      <w:r>
        <w:t xml:space="preserve">: ... a mirroring or a re-enactment process where we understand Nishnaabeg epistemology to be concerned with embodied knowledge animated, collectively, and lived out in a way in which our reality, nationhood and existence is continually reborn through both time and space. ... requires complex, committed, consensual engagement. </w:t>
      </w:r>
    </w:p>
    <w:p w14:paraId="2D10D0BA" w14:textId="77777777" w:rsidR="00076776" w:rsidRDefault="00000000">
      <w:r>
        <w:t xml:space="preserve">15: </w:t>
      </w:r>
      <w:r>
        <w:rPr>
          <w:b/>
        </w:rPr>
        <w:t>resurgence</w:t>
      </w:r>
      <w:r>
        <w:t xml:space="preserve">: [@FFessay@Dual] In the context of resurgence, which is an emergent process mitigated by spiritual forces, physical and intellectual engagement with the struggle of nation-building within specific cultural contexts is the only way to generate new knowledge. True engagement requires consent. [23] The beauty of culturally inherent resurgence is that it challenges settler colonial dissections of our territories and our bodies into reserve/city or rural/urban </w:t>
      </w:r>
      <w:r>
        <w:rPr>
          <w:b/>
        </w:rPr>
        <w:t>dichotomies</w:t>
      </w:r>
      <w:r>
        <w:t xml:space="preserve">. </w:t>
      </w:r>
      <w:r>
        <w:rPr>
          <w:b/>
        </w:rPr>
        <w:t>All Canadian cities are on Indigenous lands.</w:t>
      </w:r>
      <w:r>
        <w:t xml:space="preserve"> Indigenous presence is attacked in all geographies.</w:t>
      </w:r>
    </w:p>
    <w:p w14:paraId="792437A6" w14:textId="77777777" w:rsidR="00076776" w:rsidRDefault="00000000">
      <w:r>
        <w:t xml:space="preserve">21: </w:t>
      </w:r>
      <w:r>
        <w:rPr>
          <w:b/>
        </w:rPr>
        <w:t>academic industrial complex</w:t>
      </w:r>
      <w:r>
        <w:t>: [@FFessay] For a discussion of Native Studies in the context of the academic industrial complex see Smith (2011). For a broader discussion on Indigenous recognition in Canadian politics see Coulthard (2014b), and for a discussion of the politics of refusal see Audra Simpson (2014). [See Notes, below]</w:t>
      </w:r>
    </w:p>
    <w:p w14:paraId="7D77D177" w14:textId="77777777" w:rsidR="00076776" w:rsidRDefault="00000000">
      <w:r>
        <w:t xml:space="preserve">23: </w:t>
      </w:r>
      <w:r>
        <w:rPr>
          <w:b/>
        </w:rPr>
        <w:t>radical decolonization</w:t>
      </w:r>
      <w:r>
        <w:t xml:space="preserve">: [@Capital@Decol@FFessay] But don’t our children have to live in a hyper capitalistic system? Well, yes; and if we are going to survive this as Nishnaabeg, we need to create generations of people that </w:t>
      </w:r>
      <w:proofErr w:type="gramStart"/>
      <w:r>
        <w:t>are capable of actualizing</w:t>
      </w:r>
      <w:proofErr w:type="gramEnd"/>
      <w:r>
        <w:t xml:space="preserve"> radical decolonization, diversity, transformation and local economic alternatives to capitalism.</w:t>
      </w:r>
    </w:p>
    <w:p w14:paraId="78ABAD4D" w14:textId="77777777" w:rsidR="00076776" w:rsidRDefault="00076776"/>
    <w:p w14:paraId="6D24528A" w14:textId="77777777" w:rsidR="00076776" w:rsidRDefault="00000000">
      <w:pPr>
        <w:pStyle w:val="Heading2"/>
      </w:pPr>
      <w:r>
        <w:t>Core quotes</w:t>
      </w:r>
    </w:p>
    <w:p w14:paraId="257F63CF" w14:textId="77777777" w:rsidR="00076776" w:rsidRDefault="00000000">
      <w:r>
        <w:t>6 @Acad@Epistem@ISr@SettState</w:t>
      </w:r>
    </w:p>
    <w:p w14:paraId="2324B06D" w14:textId="77777777" w:rsidR="00076776" w:rsidRDefault="00000000">
      <w:pPr>
        <w:ind w:left="420"/>
      </w:pPr>
      <w:r>
        <w:t xml:space="preserve">My experience of education was one of continually being measured against a set of principles that required surrender to an assimilative colonial agenda </w:t>
      </w:r>
      <w:proofErr w:type="gramStart"/>
      <w:r>
        <w:t>in order to</w:t>
      </w:r>
      <w:proofErr w:type="gramEnd"/>
      <w:r>
        <w:t xml:space="preserve"> fulfill those principles.</w:t>
      </w:r>
    </w:p>
    <w:p w14:paraId="5191103A" w14:textId="77777777" w:rsidR="00076776" w:rsidRDefault="00076776">
      <w:pPr>
        <w:ind w:left="420"/>
      </w:pPr>
    </w:p>
    <w:p w14:paraId="4528579D" w14:textId="77777777" w:rsidR="00076776" w:rsidRDefault="00000000">
      <w:r>
        <w:t>7 @IK@SpacePlace@Narr@Epistem@Con</w:t>
      </w:r>
    </w:p>
    <w:p w14:paraId="37B5F402" w14:textId="77777777" w:rsidR="00076776" w:rsidRDefault="00000000">
      <w:pPr>
        <w:ind w:left="420"/>
      </w:pPr>
      <w:r>
        <w:lastRenderedPageBreak/>
        <w:t xml:space="preserve">... </w:t>
      </w:r>
      <w:r>
        <w:rPr>
          <w:b/>
        </w:rPr>
        <w:t>wisdom is generated from the ground up</w:t>
      </w:r>
      <w:r>
        <w:t xml:space="preserve">, that meaning is for everyone, and that we’re all better when we’re able to derive meaning out of our lives and be our best selves (Simpson, 2013, pp. 3-7; Doerfler, Sinclair &amp; Stark, 2013, pp. </w:t>
      </w:r>
      <w:proofErr w:type="spellStart"/>
      <w:r>
        <w:t>Xv</w:t>
      </w:r>
      <w:proofErr w:type="spellEnd"/>
      <w:r>
        <w:t>-xxvii). Stories direct, inspire and affirm ancient code of ethics.</w:t>
      </w:r>
      <w:r>
        <w:rPr>
          <w:vertAlign w:val="superscript"/>
        </w:rPr>
        <w:t>18</w:t>
      </w:r>
      <w:r>
        <w:t xml:space="preserve"> If you do not know what it means to be intelligent within Nishnaabeg realities, then you can’t see the epistemology, the pedagogy, the conceptual meaning, or the metaphor. </w:t>
      </w:r>
    </w:p>
    <w:p w14:paraId="5A5EBFA0" w14:textId="77777777" w:rsidR="00076776" w:rsidRDefault="00076776"/>
    <w:p w14:paraId="7FEA413A" w14:textId="77777777" w:rsidR="00076776" w:rsidRDefault="00000000">
      <w:r>
        <w:t>8 @SpaceTime@Decol@IK</w:t>
      </w:r>
    </w:p>
    <w:p w14:paraId="58D541AF" w14:textId="77777777" w:rsidR="00076776" w:rsidRDefault="00000000">
      <w:pPr>
        <w:ind w:left="420"/>
      </w:pPr>
      <w:r>
        <w:t xml:space="preserve">Propelling us to rebel against the permanence of settler colonial reality and not just “dream alternative realities” but to create them, on the ground in the physical world, </w:t>
      </w:r>
      <w:proofErr w:type="gramStart"/>
      <w:r>
        <w:t>in spite of</w:t>
      </w:r>
      <w:proofErr w:type="gramEnd"/>
      <w:r>
        <w:t xml:space="preserve"> being occupied. </w:t>
      </w:r>
      <w:r>
        <w:rPr>
          <w:b/>
        </w:rPr>
        <w:t>If we accept colonial permanence, then our rebellion can only take place within settler colonial thought and reality</w:t>
      </w:r>
      <w:r>
        <w:t xml:space="preserve">; we become too willing to sacrifice the context that creates and produces cultural workers like </w:t>
      </w:r>
      <w:proofErr w:type="spellStart"/>
      <w:r>
        <w:t>Kwezens</w:t>
      </w:r>
      <w:proofErr w:type="spellEnd"/>
      <w:r>
        <w:t>.</w:t>
      </w:r>
    </w:p>
    <w:p w14:paraId="0845BAE8" w14:textId="77777777" w:rsidR="00076776" w:rsidRDefault="00076776"/>
    <w:p w14:paraId="76201212" w14:textId="77777777" w:rsidR="00076776" w:rsidRDefault="00000000">
      <w:r>
        <w:t>9 @Acad@Epistem@SettState@</w:t>
      </w:r>
      <w:proofErr w:type="gramStart"/>
      <w:r>
        <w:t>Resist!@</w:t>
      </w:r>
      <w:proofErr w:type="gramEnd"/>
      <w:r>
        <w:t>Arg@SettPsych@L?</w:t>
      </w:r>
    </w:p>
    <w:p w14:paraId="47623ACB" w14:textId="77777777" w:rsidR="00076776" w:rsidRDefault="00000000">
      <w:pPr>
        <w:ind w:left="420"/>
      </w:pPr>
      <w:r>
        <w:t>Indigenous education is not Indigenous or education from within our intellectual traditions unless it comes through the land, unless it occurs in an Indigenous context using Indigenous processes (Deloria, 2001, pp. 58-59). ... Settlers easily appropriate and reproduce the content of the story every year, within the context of capitalism, when they make commercial maple syrup; but they completely miss the wisdom that underlies the entire process because</w:t>
      </w:r>
      <w:r>
        <w:rPr>
          <w:b/>
        </w:rPr>
        <w:t xml:space="preserve"> they </w:t>
      </w:r>
      <w:proofErr w:type="spellStart"/>
      <w:r>
        <w:rPr>
          <w:b/>
        </w:rPr>
        <w:t>deterritorialize</w:t>
      </w:r>
      <w:proofErr w:type="spellEnd"/>
      <w:r>
        <w:rPr>
          <w:b/>
        </w:rPr>
        <w:t xml:space="preserve"> the mechanics of maple syrup production from Nishnaabeg intelligence and from </w:t>
      </w:r>
      <w:proofErr w:type="spellStart"/>
      <w:r>
        <w:rPr>
          <w:b/>
        </w:rPr>
        <w:t>aki</w:t>
      </w:r>
      <w:proofErr w:type="spellEnd"/>
      <w:r>
        <w:rPr>
          <w:b/>
        </w:rPr>
        <w:t xml:space="preserve">. They appropriate and recast the process within a </w:t>
      </w:r>
      <w:proofErr w:type="spellStart"/>
      <w:r>
        <w:rPr>
          <w:b/>
        </w:rPr>
        <w:t>hyperindividualism</w:t>
      </w:r>
      <w:proofErr w:type="spellEnd"/>
      <w:r>
        <w:rPr>
          <w:b/>
        </w:rPr>
        <w:t xml:space="preserve"> that negates relationality.</w:t>
      </w:r>
      <w:r>
        <w:t xml:space="preserve"> The radical thinking and action of this story is not so much in the mechanics of reducing maple sap to sugar, it lies in the reproduction of a loving web of Nishnaabeg networks within which learning takes place. ... education comes from the roots up. It comes from being enveloped by land. An individual’s intimate relationship with the spiritual and physical elements of creation is at the centre of a learning journey that is life-long (Deloria, 2001, p. 60). </w:t>
      </w:r>
      <w:r>
        <w:rPr>
          <w:b/>
        </w:rPr>
        <w:t>You can’t graduate</w:t>
      </w:r>
      <w:r>
        <w:t xml:space="preserve"> </w:t>
      </w:r>
      <w:r>
        <w:rPr>
          <w:b/>
        </w:rPr>
        <w:t xml:space="preserve">from </w:t>
      </w:r>
      <w:proofErr w:type="spellStart"/>
      <w:r>
        <w:rPr>
          <w:b/>
        </w:rPr>
        <w:t>Nishnaabewin</w:t>
      </w:r>
      <w:proofErr w:type="spellEnd"/>
      <w:r>
        <w:t>; it is a gift to be practiced and reproduced.</w:t>
      </w:r>
    </w:p>
    <w:p w14:paraId="1E765A23" w14:textId="77777777" w:rsidR="00076776" w:rsidRDefault="00076776"/>
    <w:p w14:paraId="3D6CA2C4" w14:textId="77777777" w:rsidR="00076776" w:rsidRDefault="00000000">
      <w:pPr>
        <w:rPr>
          <w:highlight w:val="green"/>
        </w:rPr>
      </w:pPr>
      <w:r>
        <w:rPr>
          <w:highlight w:val="green"/>
        </w:rPr>
        <w:t>10 @</w:t>
      </w:r>
      <w:proofErr w:type="gramStart"/>
      <w:r>
        <w:rPr>
          <w:highlight w:val="green"/>
        </w:rPr>
        <w:t>L?@</w:t>
      </w:r>
      <w:proofErr w:type="gramEnd"/>
      <w:r>
        <w:rPr>
          <w:highlight w:val="green"/>
        </w:rPr>
        <w:t>IK@Epistem@Ontol@Acad@OralEx@DECOL</w:t>
      </w:r>
    </w:p>
    <w:p w14:paraId="0BAD1FEF" w14:textId="77777777" w:rsidR="00076776" w:rsidRDefault="00000000">
      <w:pPr>
        <w:ind w:left="420"/>
      </w:pPr>
      <w:r>
        <w:t>Just as it is unthinkable within a Nishnaabeg worldview for a leader to impose their will on their people, it is unthinkable to impose an agenda onto another living thing – in essence,</w:t>
      </w:r>
      <w:r>
        <w:rPr>
          <w:b/>
        </w:rPr>
        <w:t xml:space="preserve"> the </w:t>
      </w:r>
      <w:r>
        <w:rPr>
          <w:b/>
          <w:i/>
        </w:rPr>
        <w:t>context is the curriculum</w:t>
      </w:r>
      <w:r>
        <w:rPr>
          <w:b/>
        </w:rPr>
        <w:t xml:space="preserve"> and land, </w:t>
      </w:r>
      <w:proofErr w:type="spellStart"/>
      <w:r>
        <w:rPr>
          <w:b/>
        </w:rPr>
        <w:t>aki</w:t>
      </w:r>
      <w:proofErr w:type="spellEnd"/>
      <w:r>
        <w:rPr>
          <w:b/>
        </w:rPr>
        <w:t xml:space="preserve">, is the context </w:t>
      </w:r>
      <w:r>
        <w:t>(Cajete, 1994).</w:t>
      </w:r>
    </w:p>
    <w:p w14:paraId="0BAEC86D" w14:textId="77777777" w:rsidR="00076776" w:rsidRDefault="00076776">
      <w:pPr>
        <w:ind w:left="420"/>
      </w:pPr>
    </w:p>
    <w:p w14:paraId="4B4BC4B4" w14:textId="77777777" w:rsidR="00076776" w:rsidRDefault="00000000">
      <w:r>
        <w:t>11 @Ethics@IK@Phenom</w:t>
      </w:r>
    </w:p>
    <w:p w14:paraId="34C615B1" w14:textId="77777777" w:rsidR="00076776" w:rsidRDefault="00000000">
      <w:r>
        <w:t xml:space="preserve">On the personal responsibility for meaning in one’s life, and that </w:t>
      </w:r>
      <w:proofErr w:type="spellStart"/>
      <w:r>
        <w:t>epistomology</w:t>
      </w:r>
      <w:proofErr w:type="spellEnd"/>
      <w:r>
        <w:rPr>
          <w:i/>
        </w:rPr>
        <w:t xml:space="preserve"> is </w:t>
      </w:r>
      <w:r>
        <w:t xml:space="preserve">phenomenology: </w:t>
      </w:r>
    </w:p>
    <w:p w14:paraId="2E3AFB26" w14:textId="77777777" w:rsidR="00076776" w:rsidRDefault="00000000">
      <w:pPr>
        <w:ind w:left="420"/>
      </w:pPr>
      <w:r>
        <w:t>Meaning then is derived not through content or data, or even theory in a western context,</w:t>
      </w:r>
    </w:p>
    <w:p w14:paraId="27C19E19" w14:textId="77777777" w:rsidR="00076776" w:rsidRDefault="00000000">
      <w:pPr>
        <w:ind w:left="420"/>
      </w:pPr>
      <w:r>
        <w:t>which by nature is decontextualized knowledge, but through a compassionate web of</w:t>
      </w:r>
    </w:p>
    <w:p w14:paraId="49DAEEE3" w14:textId="77777777" w:rsidR="00076776" w:rsidRDefault="00000000">
      <w:pPr>
        <w:ind w:left="420"/>
      </w:pPr>
      <w:r>
        <w:t>interdependent relationships that are different and valuable because of that difference.</w:t>
      </w:r>
    </w:p>
    <w:p w14:paraId="6F0B5114" w14:textId="77777777" w:rsidR="00076776" w:rsidRDefault="00000000">
      <w:pPr>
        <w:ind w:left="420"/>
      </w:pPr>
      <w:r>
        <w:t xml:space="preserve">Individuals carry the responsibility for generating meaning within their own lives – they carry the responsibility for engaging their minds, bodies and spirits in a practice of generating meaning. Within </w:t>
      </w:r>
      <w:proofErr w:type="spellStart"/>
      <w:r>
        <w:t>Nishnaabewin</w:t>
      </w:r>
      <w:proofErr w:type="spellEnd"/>
      <w:r>
        <w:t xml:space="preserve">, I am responsible for my thoughts and ideas. ... . This is deliberate, ethical and profoundly careful within </w:t>
      </w:r>
      <w:proofErr w:type="spellStart"/>
      <w:r>
        <w:t>Nishnaabewin</w:t>
      </w:r>
      <w:proofErr w:type="spellEnd"/>
      <w:r>
        <w:t xml:space="preserve"> because to do </w:t>
      </w:r>
      <w:r>
        <w:lastRenderedPageBreak/>
        <w:t>otherwise is considered arrogant and intrusive with the potential to interfere with other beings’ life pathways.</w:t>
      </w:r>
      <w:r>
        <w:rPr>
          <w:vertAlign w:val="superscript"/>
        </w:rPr>
        <w:t>23</w:t>
      </w:r>
    </w:p>
    <w:p w14:paraId="20326B92" w14:textId="77777777" w:rsidR="00076776" w:rsidRDefault="00076776">
      <w:pPr>
        <w:ind w:left="420"/>
        <w:rPr>
          <w:vertAlign w:val="superscript"/>
        </w:rPr>
      </w:pPr>
    </w:p>
    <w:p w14:paraId="49558AE4" w14:textId="77777777" w:rsidR="00076776" w:rsidRDefault="00000000">
      <w:r>
        <w:t>13 @</w:t>
      </w:r>
      <w:proofErr w:type="gramStart"/>
      <w:r>
        <w:t>L?@</w:t>
      </w:r>
      <w:proofErr w:type="gramEnd"/>
      <w:r>
        <w:t>Acad@Epistem@Decol@IK@FFessay</w:t>
      </w:r>
    </w:p>
    <w:p w14:paraId="71BE3846" w14:textId="77777777" w:rsidR="00076776" w:rsidRDefault="00000000">
      <w:r>
        <w:t xml:space="preserve">Cannot </w:t>
      </w:r>
      <w:r>
        <w:rPr>
          <w:i/>
        </w:rPr>
        <w:t>learn</w:t>
      </w:r>
      <w:r>
        <w:t xml:space="preserve"> without land...</w:t>
      </w:r>
    </w:p>
    <w:p w14:paraId="2981C167" w14:textId="77777777" w:rsidR="00076776" w:rsidRDefault="00000000">
      <w:pPr>
        <w:ind w:left="420"/>
      </w:pPr>
      <w:r>
        <w:t>We cannot carry out the kind of decolonization our ancestors set in motion if we don’t create a generation of land based, community based intellectuals and cultural producers who are accountable to our nations and whose life work is concerned with the regeneration of these systems, rather than meeting the overwhelming needs of the western academic industrial complex or attempting to “Indigenize the academy”</w:t>
      </w:r>
      <w:r>
        <w:rPr>
          <w:vertAlign w:val="superscript"/>
        </w:rPr>
        <w:t>29</w:t>
      </w:r>
      <w:r>
        <w:t xml:space="preserve"> by bringing Indigenous Knowledges into the academy on the terms of the academy itself. </w:t>
      </w:r>
    </w:p>
    <w:p w14:paraId="71E55C83" w14:textId="77777777" w:rsidR="00076776" w:rsidRDefault="00076776">
      <w:pPr>
        <w:ind w:left="840"/>
      </w:pPr>
    </w:p>
    <w:p w14:paraId="071B1477" w14:textId="77777777" w:rsidR="00076776" w:rsidRDefault="00000000">
      <w:r>
        <w:t>15 @SettState@IK@Acad@Offic</w:t>
      </w:r>
    </w:p>
    <w:p w14:paraId="34ECCAE9" w14:textId="77777777" w:rsidR="00076776" w:rsidRDefault="00000000">
      <w:pPr>
        <w:ind w:left="420"/>
      </w:pPr>
      <w:r>
        <w:t xml:space="preserve">Within the context of settler colonialism, Indigenous peoples are not seen as worthy recipients of consent, informed or otherwise, and part of being colonized is having to engage in all kinds of processes </w:t>
      </w:r>
      <w:proofErr w:type="gramStart"/>
      <w:r>
        <w:t>on a daily basis</w:t>
      </w:r>
      <w:proofErr w:type="gramEnd"/>
      <w:r>
        <w:t xml:space="preserve"> that, given a choice, we likely wouldn’t consent to. In my experiences with the state-run education system, my informed consent was never </w:t>
      </w:r>
      <w:proofErr w:type="gramStart"/>
      <w:r>
        <w:t>required–learning</w:t>
      </w:r>
      <w:proofErr w:type="gramEnd"/>
      <w:r>
        <w:t xml:space="preserve"> was forced on me using the threat of emotional and physical violence. In post-secondary education, consent was coercive–if you want these credentials, this is what you </w:t>
      </w:r>
      <w:proofErr w:type="gramStart"/>
      <w:r>
        <w:t>have to</w:t>
      </w:r>
      <w:proofErr w:type="gramEnd"/>
      <w:r>
        <w:t xml:space="preserve"> </w:t>
      </w:r>
      <w:proofErr w:type="gramStart"/>
      <w:r>
        <w:t>do</w:t>
      </w:r>
      <w:proofErr w:type="gramEnd"/>
      <w:r>
        <w:t xml:space="preserve"> and this is what you </w:t>
      </w:r>
      <w:proofErr w:type="gramStart"/>
      <w:r>
        <w:t>have to</w:t>
      </w:r>
      <w:proofErr w:type="gramEnd"/>
      <w:r>
        <w:t xml:space="preserve"> endure.</w:t>
      </w:r>
      <w:r>
        <w:rPr>
          <w:vertAlign w:val="superscript"/>
        </w:rPr>
        <w:t>31</w:t>
      </w:r>
    </w:p>
    <w:p w14:paraId="7B311087" w14:textId="77777777" w:rsidR="00076776" w:rsidRDefault="00076776"/>
    <w:p w14:paraId="2453FA9D" w14:textId="77777777" w:rsidR="00076776" w:rsidRDefault="00000000">
      <w:r>
        <w:t>19 @Isr@SettState@IK</w:t>
      </w:r>
    </w:p>
    <w:p w14:paraId="44C21E58" w14:textId="77777777" w:rsidR="00076776" w:rsidRDefault="00000000">
      <w:pPr>
        <w:ind w:left="420"/>
      </w:pPr>
      <w:r>
        <w:t>Being engaged in land as pedagogy as a life practice inevitably means coming face-to-face with settler colonial authority, surveillance and violence because, in practice, it places Indigenous bodies between settlers and their money (</w:t>
      </w:r>
      <w:r>
        <w:rPr>
          <w:highlight w:val="darkMagenta"/>
        </w:rPr>
        <w:t>Coulthard</w:t>
      </w:r>
      <w:r>
        <w:t>, 2, p.36).</w:t>
      </w:r>
    </w:p>
    <w:p w14:paraId="6612F07B" w14:textId="77777777" w:rsidR="00076776" w:rsidRDefault="00076776"/>
    <w:p w14:paraId="7FA088B4" w14:textId="77777777" w:rsidR="00076776" w:rsidRDefault="00000000">
      <w:r>
        <w:t>21-22 @IK@Acad@Epistem@</w:t>
      </w:r>
      <w:proofErr w:type="gramStart"/>
      <w:r>
        <w:t>Resist!@</w:t>
      </w:r>
      <w:proofErr w:type="gramEnd"/>
      <w:r>
        <w:t>SettState</w:t>
      </w:r>
    </w:p>
    <w:p w14:paraId="4CA9626B" w14:textId="77777777" w:rsidR="00076776" w:rsidRDefault="00000000">
      <w:r>
        <w:t xml:space="preserve">Some quotes on the need for pedagogical reframing and revolution: </w:t>
      </w:r>
    </w:p>
    <w:p w14:paraId="19317478" w14:textId="77777777" w:rsidR="00076776" w:rsidRDefault="00076776"/>
    <w:p w14:paraId="194DF204" w14:textId="77777777" w:rsidR="00076776" w:rsidRDefault="00000000">
      <w:pPr>
        <w:ind w:left="420"/>
      </w:pPr>
      <w:r>
        <w:t xml:space="preserve">... by far the largest attack on Indigenous Knowledge systems right now is land dispossession, and the people that are actively protecting </w:t>
      </w:r>
      <w:proofErr w:type="spellStart"/>
      <w:r>
        <w:t>Nishnaabewin</w:t>
      </w:r>
      <w:proofErr w:type="spellEnd"/>
      <w:r>
        <w:t xml:space="preserve"> are not those at academic conferences advocating for its use in research and course work but those that are currently putting their bodies on the land. </w:t>
      </w:r>
    </w:p>
    <w:p w14:paraId="5E4A55CC" w14:textId="77777777" w:rsidR="00076776" w:rsidRDefault="00076776">
      <w:pPr>
        <w:ind w:left="420"/>
      </w:pPr>
    </w:p>
    <w:p w14:paraId="64CA64D9" w14:textId="77777777" w:rsidR="00076776" w:rsidRDefault="00000000">
      <w:pPr>
        <w:ind w:left="420"/>
      </w:pPr>
      <w:r>
        <w:t>When I was a PhD student at the University of Manitoba in the late 1990s, there was a</w:t>
      </w:r>
    </w:p>
    <w:p w14:paraId="438BCEB2" w14:textId="77777777" w:rsidR="00076776" w:rsidRDefault="00000000">
      <w:pPr>
        <w:ind w:left="420"/>
      </w:pPr>
      <w:r>
        <w:t xml:space="preserve">considerable amount of discussion amongst academics on how to ethically and responsibly bring Indigenous Knowledge into the academy, as a way of legitimizing the knowledge of Indigenous peoples as an intellectual system on par with western traditions, as a mechanism to attract Indigenous students to the academy, and as mechanism to preserve Indigenous Knowledges (Simpson, 2008). ... Fifteen years later, </w:t>
      </w:r>
      <w:r>
        <w:rPr>
          <w:b/>
        </w:rPr>
        <w:t>the same university has no tenured Elders</w:t>
      </w:r>
      <w:r>
        <w:t xml:space="preserve">, only Indigenous and non-Indigenous academics primarily hired </w:t>
      </w:r>
      <w:proofErr w:type="gramStart"/>
      <w:r>
        <w:t>on the basis of</w:t>
      </w:r>
      <w:proofErr w:type="gramEnd"/>
      <w:r>
        <w:t xml:space="preserve"> western credentials. // The problem with this approach then, and now, is that it reinforces colonial authority over Nishnaabeg intelligence by keeping it reified and fetishized within a settler colonial approach to education designed only to propel settler colonialism. This serves to reinforce asymmetrical power relationships between Indigenous Knowledge and western knowledge, and Indigenous and non-Indigenous peoples.</w:t>
      </w:r>
    </w:p>
    <w:p w14:paraId="658551C9" w14:textId="77777777" w:rsidR="00076776" w:rsidRDefault="00076776">
      <w:pPr>
        <w:ind w:left="420"/>
      </w:pPr>
    </w:p>
    <w:p w14:paraId="469F8507" w14:textId="77777777" w:rsidR="00076776" w:rsidRDefault="00000000">
      <w:pPr>
        <w:ind w:left="420"/>
      </w:pPr>
      <w:r>
        <w:t xml:space="preserve">Withdrawing our considerable collective efforts to “Indigenize the academy”, in favor of a resurgence of Indigenous intellectual systems and a reclamation of the context within which those systems operate, goes much further to propelling our nationhood and reestablishing Indigenous political systems because it places people back on the land in a context that is conducive to resurgence and mobilization. The academy has continually proven its refusal to recognize and support the validity, legitimacy, rigor and ethical principles of Nishnaabeg intelligence and the system itself, so we must stop begging for recognition and do this work for ourselves. </w:t>
      </w:r>
    </w:p>
    <w:p w14:paraId="70BF44CB" w14:textId="77777777" w:rsidR="00076776" w:rsidRDefault="00076776"/>
    <w:p w14:paraId="74BF051F" w14:textId="77777777" w:rsidR="00076776" w:rsidRDefault="00000000">
      <w:pPr>
        <w:ind w:left="420"/>
      </w:pPr>
      <w:r>
        <w:t xml:space="preserve">[@Aes@Art@Polity] As </w:t>
      </w:r>
      <w:r>
        <w:rPr>
          <w:highlight w:val="magenta"/>
        </w:rPr>
        <w:t xml:space="preserve">Martineau and </w:t>
      </w:r>
      <w:proofErr w:type="spellStart"/>
      <w:r>
        <w:rPr>
          <w:highlight w:val="magenta"/>
        </w:rPr>
        <w:t>Ritskes</w:t>
      </w:r>
      <w:proofErr w:type="spellEnd"/>
      <w:r>
        <w:t xml:space="preserve"> (2014) state in their discussion of </w:t>
      </w:r>
      <w:r>
        <w:rPr>
          <w:b/>
        </w:rPr>
        <w:t>decolonial aesthetics</w:t>
      </w:r>
      <w:r>
        <w:t>, “This means the task of decolonial artists, scholars and activists is not simply to offer amendments or edits to the current world, but to display t</w:t>
      </w:r>
      <w:r>
        <w:rPr>
          <w:b/>
        </w:rPr>
        <w:t>he mutual sacrifice and relationality needed to sabotage colonial systems of thought and power</w:t>
      </w:r>
      <w:r>
        <w:t xml:space="preserve"> for the purpose of liberatory alternatives (p. II). This is true in politics, art, cultural and intellectual production, and education because these systems are seamlessly woven together within our intelligence.</w:t>
      </w:r>
    </w:p>
    <w:p w14:paraId="5F346D52" w14:textId="77777777" w:rsidR="00076776" w:rsidRDefault="00076776">
      <w:pPr>
        <w:ind w:left="420"/>
      </w:pPr>
    </w:p>
    <w:p w14:paraId="7952D4C0" w14:textId="77777777" w:rsidR="00076776" w:rsidRDefault="00000000">
      <w:pPr>
        <w:pStyle w:val="Heading2"/>
      </w:pPr>
      <w:r>
        <w:t>Secondary quotes</w:t>
      </w:r>
    </w:p>
    <w:p w14:paraId="79B8D484" w14:textId="77777777" w:rsidR="00076776" w:rsidRDefault="00000000">
      <w:r>
        <w:t xml:space="preserve">1 @Thesis This paper uses Nishnaabeg stories to advocate for a reclamation of land as pedagogy, both as process and context for Nishnaabeg intelligence, </w:t>
      </w:r>
      <w:proofErr w:type="gramStart"/>
      <w:r>
        <w:t>in order to</w:t>
      </w:r>
      <w:proofErr w:type="gramEnd"/>
      <w:r>
        <w:t xml:space="preserve"> nurture a generation of Indigenous peoples that have the skills, knowledge and values to rebuild our nation according to the word views and values of Nishnaabeg culture. / 8 @SettPsych@Decol@IK@IR </w:t>
      </w:r>
      <w:proofErr w:type="spellStart"/>
      <w:r>
        <w:t>Kwezen’s</w:t>
      </w:r>
      <w:proofErr w:type="spellEnd"/>
      <w:r>
        <w:t xml:space="preserve"> presence (and the web of kinship relations that she is composed of) is complicated by her fraught relationality to the tenacity of settler colonialism (Martineau and </w:t>
      </w:r>
      <w:proofErr w:type="spellStart"/>
      <w:r>
        <w:t>Ritskes</w:t>
      </w:r>
      <w:proofErr w:type="spellEnd"/>
      <w:r>
        <w:t xml:space="preserve">, 2014, p. II), and her very presence simultaneously shatters the disappearance of Indigenous women and girls from settler consciousness. She also escapes the rigidity of colonial gender binaries by having influence and agency within her family, while physically disrupting settler colonial commodification and ownership of the land through the implicit assumption that she is </w:t>
      </w:r>
      <w:proofErr w:type="spellStart"/>
      <w:proofErr w:type="gramStart"/>
      <w:r>
        <w:t>suppose</w:t>
      </w:r>
      <w:proofErr w:type="gramEnd"/>
      <w:r>
        <w:t xml:space="preserve"> to</w:t>
      </w:r>
      <w:proofErr w:type="spellEnd"/>
      <w:r>
        <w:t xml:space="preserve"> be there. / 9 @Guffaw! What if the university got </w:t>
      </w:r>
      <w:proofErr w:type="spellStart"/>
      <w:r>
        <w:t>ahold</w:t>
      </w:r>
      <w:proofErr w:type="spellEnd"/>
      <w:r>
        <w:t xml:space="preserve"> of the sugar bush and made </w:t>
      </w:r>
      <w:proofErr w:type="spellStart"/>
      <w:r>
        <w:t>Kwezens</w:t>
      </w:r>
      <w:proofErr w:type="spellEnd"/>
      <w:r>
        <w:t xml:space="preserve"> get SSHRC funding before she could go out in the field? What if she was home reading the course outline of someone else’s learning objectives? What if she never gave the sap to her </w:t>
      </w:r>
      <w:proofErr w:type="spellStart"/>
      <w:r>
        <w:t>doodoom</w:t>
      </w:r>
      <w:proofErr w:type="spellEnd"/>
      <w:r>
        <w:t xml:space="preserve"> but instead went to her computer to type up her research report? / 10 ... it doesn’t make</w:t>
      </w:r>
    </w:p>
    <w:p w14:paraId="42BDB514" w14:textId="77777777" w:rsidR="00076776" w:rsidRDefault="00000000">
      <w:r>
        <w:t xml:space="preserve">sense for everyone to </w:t>
      </w:r>
      <w:r>
        <w:rPr>
          <w:b/>
        </w:rPr>
        <w:t xml:space="preserve">master the same body of </w:t>
      </w:r>
      <w:proofErr w:type="gramStart"/>
      <w:r>
        <w:rPr>
          <w:b/>
        </w:rPr>
        <w:t>factual information</w:t>
      </w:r>
      <w:proofErr w:type="gramEnd"/>
      <w:r>
        <w:t>. Nishnaabeg society, in its</w:t>
      </w:r>
    </w:p>
    <w:p w14:paraId="02D8941D" w14:textId="77777777" w:rsidR="00076776" w:rsidRDefault="00000000">
      <w:r>
        <w:t>fullest realization, requires a diversity of excellence to continue to produce an abundance of</w:t>
      </w:r>
    </w:p>
    <w:p w14:paraId="49B6D9D4" w14:textId="77777777" w:rsidR="00076776" w:rsidRDefault="00000000">
      <w:r>
        <w:t xml:space="preserve">supportive relationships. / 17 </w:t>
      </w:r>
      <w:proofErr w:type="spellStart"/>
      <w:r>
        <w:rPr>
          <w:b/>
        </w:rPr>
        <w:t>Nanabush</w:t>
      </w:r>
      <w:proofErr w:type="spellEnd"/>
      <w:r>
        <w:t xml:space="preserve"> is widely regarded within Nishnaabeg thought as Spiritual Being and an important teacher... The brilliance of </w:t>
      </w:r>
      <w:proofErr w:type="spellStart"/>
      <w:r>
        <w:t>Nanabush</w:t>
      </w:r>
      <w:proofErr w:type="spellEnd"/>
      <w:r>
        <w:t xml:space="preserve"> is that </w:t>
      </w:r>
      <w:proofErr w:type="spellStart"/>
      <w:r>
        <w:t>Nanabush</w:t>
      </w:r>
      <w:proofErr w:type="spellEnd"/>
      <w:r>
        <w:t xml:space="preserve"> stories the land with a sharp criticality necessary for moving through the realm of the colonized into the dreamed reality of the</w:t>
      </w:r>
    </w:p>
    <w:p w14:paraId="06CF63D3" w14:textId="77777777" w:rsidR="00076776" w:rsidRDefault="00000000">
      <w:r>
        <w:t xml:space="preserve">decolonized, and for navigating the lived reality of having to engage with both at the same time. / 17 </w:t>
      </w:r>
      <w:r>
        <w:rPr>
          <w:b/>
        </w:rPr>
        <w:t xml:space="preserve">On how “the Academy” fails to cultivate </w:t>
      </w:r>
      <w:proofErr w:type="gramStart"/>
      <w:r>
        <w:rPr>
          <w:b/>
        </w:rPr>
        <w:t>“ Nishnaabeg</w:t>
      </w:r>
      <w:proofErr w:type="gramEnd"/>
      <w:r>
        <w:rPr>
          <w:b/>
        </w:rPr>
        <w:t xml:space="preserve"> intelligence:</w:t>
      </w:r>
      <w:r>
        <w:t xml:space="preserve">” If I imagine myself talking post-secondary education with </w:t>
      </w:r>
      <w:proofErr w:type="spellStart"/>
      <w:r>
        <w:t>Nanabush</w:t>
      </w:r>
      <w:proofErr w:type="spellEnd"/>
      <w:r>
        <w:t xml:space="preserve"> right now, it begins with him immediately asking me why I think spending 60 hours a week indoors in a classroom or on a computer is</w:t>
      </w:r>
      <w:r>
        <w:rPr>
          <w:i/>
        </w:rPr>
        <w:t xml:space="preserve"> Indigenous education </w:t>
      </w:r>
      <w:r>
        <w:t xml:space="preserve">at all. / </w:t>
      </w:r>
      <w:proofErr w:type="gramStart"/>
      <w:r>
        <w:t>19  Curve</w:t>
      </w:r>
      <w:proofErr w:type="gramEnd"/>
      <w:r>
        <w:t xml:space="preserve"> Lake Elder Doug Williams. / 20 The 1923 </w:t>
      </w:r>
      <w:r>
        <w:rPr>
          <w:b/>
          <w:i/>
        </w:rPr>
        <w:t>Williams Treaty</w:t>
      </w:r>
      <w:r>
        <w:t xml:space="preserve"> / </w:t>
      </w:r>
    </w:p>
    <w:p w14:paraId="5D355CE8" w14:textId="77777777" w:rsidR="00076776" w:rsidRDefault="00076776"/>
    <w:p w14:paraId="633A2684" w14:textId="77777777" w:rsidR="00076776" w:rsidRDefault="00000000">
      <w:pPr>
        <w:pStyle w:val="Heading2"/>
      </w:pPr>
      <w:r>
        <w:lastRenderedPageBreak/>
        <w:t>Notes</w:t>
      </w:r>
    </w:p>
    <w:p w14:paraId="48E487EB" w14:textId="77777777" w:rsidR="00076776" w:rsidRDefault="00000000">
      <w:r>
        <w:t xml:space="preserve">@Diss readings? </w:t>
      </w:r>
    </w:p>
    <w:p w14:paraId="023F26C7" w14:textId="77777777" w:rsidR="00076776" w:rsidRDefault="00076776"/>
    <w:p w14:paraId="4BBF630E" w14:textId="77777777" w:rsidR="00076776" w:rsidRDefault="00000000">
      <w:pPr>
        <w:ind w:left="420"/>
      </w:pPr>
      <w:r>
        <w:rPr>
          <w:highlight w:val="darkMagenta"/>
        </w:rPr>
        <w:t>Smith</w:t>
      </w:r>
      <w:r>
        <w:t>, A. (2011). Queer theory and Native Studies: The heteronormativity of settler colonialism.</w:t>
      </w:r>
    </w:p>
    <w:p w14:paraId="0847E3DD" w14:textId="77777777" w:rsidR="00076776" w:rsidRDefault="00000000">
      <w:pPr>
        <w:ind w:left="420"/>
      </w:pPr>
      <w:r>
        <w:t xml:space="preserve">In Q. Driskill, C. Finley, B.J. Gilley &amp; S.L. Morgensen (Eds.), </w:t>
      </w:r>
      <w:r>
        <w:rPr>
          <w:i/>
        </w:rPr>
        <w:t>Queer Indigenous Studies:</w:t>
      </w:r>
    </w:p>
    <w:p w14:paraId="48FD3C3F" w14:textId="77777777" w:rsidR="00076776" w:rsidRDefault="00000000">
      <w:pPr>
        <w:ind w:left="420"/>
      </w:pPr>
      <w:r>
        <w:rPr>
          <w:i/>
        </w:rPr>
        <w:t>Critical interventions in theory, politics and literature</w:t>
      </w:r>
      <w:r>
        <w:t xml:space="preserve"> (pp. 43-66). Tucson: Arizona</w:t>
      </w:r>
    </w:p>
    <w:p w14:paraId="35FD281C" w14:textId="77777777" w:rsidR="00076776" w:rsidRDefault="00000000">
      <w:pPr>
        <w:ind w:left="420"/>
      </w:pPr>
      <w:r>
        <w:t>University Press.</w:t>
      </w:r>
    </w:p>
    <w:p w14:paraId="4BF8913D" w14:textId="77777777" w:rsidR="00076776" w:rsidRDefault="00076776">
      <w:pPr>
        <w:ind w:left="420"/>
      </w:pPr>
    </w:p>
    <w:p w14:paraId="19E8AD8D" w14:textId="77777777" w:rsidR="00076776" w:rsidRDefault="00000000">
      <w:pPr>
        <w:ind w:left="420"/>
      </w:pPr>
      <w:r>
        <w:rPr>
          <w:highlight w:val="darkMagenta"/>
        </w:rPr>
        <w:t>Coulthard</w:t>
      </w:r>
      <w:r>
        <w:t xml:space="preserve">, G. (2014b). </w:t>
      </w:r>
      <w:r>
        <w:rPr>
          <w:i/>
        </w:rPr>
        <w:t>Red skin, white masks: Rejecting colonial politics of recognition</w:t>
      </w:r>
      <w:r>
        <w:t>.</w:t>
      </w:r>
    </w:p>
    <w:p w14:paraId="0E56AC47" w14:textId="77777777" w:rsidR="00076776" w:rsidRDefault="00000000">
      <w:pPr>
        <w:ind w:left="420"/>
      </w:pPr>
      <w:r>
        <w:t>Minneapolis: University of Minnesota Press.</w:t>
      </w:r>
    </w:p>
    <w:p w14:paraId="2E1BE028" w14:textId="77777777" w:rsidR="00076776" w:rsidRDefault="00076776">
      <w:pPr>
        <w:ind w:left="420"/>
      </w:pPr>
    </w:p>
    <w:p w14:paraId="7E73397E" w14:textId="77777777" w:rsidR="00076776" w:rsidRDefault="00000000">
      <w:pPr>
        <w:ind w:left="420"/>
      </w:pPr>
      <w:r>
        <w:t xml:space="preserve">On @Aes and @Art: Martineau, J. &amp; </w:t>
      </w:r>
      <w:proofErr w:type="spellStart"/>
      <w:r>
        <w:t>Ritskes</w:t>
      </w:r>
      <w:proofErr w:type="spellEnd"/>
      <w:r>
        <w:t xml:space="preserve">, E. (2014). Fugitive indigeneity: Reclaiming the terrain of decolonial struggle through Indigenous art. </w:t>
      </w:r>
      <w:r>
        <w:rPr>
          <w:i/>
        </w:rPr>
        <w:t>Decolonization: Indigeneity, Education &amp; Society</w:t>
      </w:r>
      <w:r>
        <w:t>, 3(1),</w:t>
      </w:r>
    </w:p>
    <w:p w14:paraId="2571843F" w14:textId="77777777" w:rsidR="00076776" w:rsidRDefault="00000000">
      <w:pPr>
        <w:ind w:left="420"/>
      </w:pPr>
      <w:r>
        <w:t>I-XII.</w:t>
      </w:r>
    </w:p>
    <w:p w14:paraId="0EEB26E7"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6E40205E" w14:textId="77777777" w:rsidR="00076776" w:rsidRDefault="00000000">
      <w:pPr>
        <w:pStyle w:val="Heading1"/>
      </w:pPr>
      <w:bookmarkStart w:id="13" w:name="_heading=h.26in1rg" w:colFirst="0" w:colLast="0"/>
      <w:bookmarkEnd w:id="13"/>
      <w:r>
        <w:t xml:space="preserve">(2016) </w:t>
      </w:r>
      <w:proofErr w:type="spellStart"/>
      <w:r>
        <w:t>Kauanui</w:t>
      </w:r>
      <w:proofErr w:type="spellEnd"/>
      <w:r>
        <w:t>, “‘A Structure, Not an Event’: Settler Colonialism and Enduring Indigeneity”</w:t>
      </w:r>
    </w:p>
    <w:p w14:paraId="2D2695AF" w14:textId="77777777" w:rsidR="00076776" w:rsidRDefault="00000000">
      <w:r>
        <w:t xml:space="preserve">Companion/response to </w:t>
      </w:r>
      <w:hyperlink r:id="rId21" w:anchor="_(2006)_Wolfe,_">
        <w:r w:rsidR="00076776">
          <w:rPr>
            <w:color w:val="0563C1"/>
            <w:u w:val="single"/>
          </w:rPr>
          <w:t>Wolfe</w:t>
        </w:r>
      </w:hyperlink>
      <w:r>
        <w:t xml:space="preserve">. </w:t>
      </w:r>
    </w:p>
    <w:p w14:paraId="3C4924D4" w14:textId="77777777" w:rsidR="00076776" w:rsidRDefault="00076776"/>
    <w:p w14:paraId="5D16B314" w14:textId="77777777" w:rsidR="00076776" w:rsidRDefault="00000000">
      <w:pPr>
        <w:pStyle w:val="Heading2"/>
      </w:pPr>
      <w:r>
        <w:t>Abstract</w:t>
      </w:r>
    </w:p>
    <w:p w14:paraId="4AE0ECD8" w14:textId="77777777" w:rsidR="00076776" w:rsidRDefault="00000000">
      <w:r>
        <w:t xml:space="preserve">A look at echoes of Wolfe’s famous essay, with assertions that any framing of settler colonial studies must engage with NAIS (Native American and Indigenous Studies) to be meaningful: “Settler Colonial Studies does not, should not, and cannot replace Indigenous Studies.” </w:t>
      </w:r>
    </w:p>
    <w:p w14:paraId="31EAE77F" w14:textId="77777777" w:rsidR="00076776" w:rsidRDefault="00076776"/>
    <w:p w14:paraId="1BBFC27D" w14:textId="77777777" w:rsidR="00076776" w:rsidRDefault="00000000">
      <w:pPr>
        <w:pStyle w:val="Heading2"/>
      </w:pPr>
      <w:r>
        <w:t>Key words</w:t>
      </w:r>
    </w:p>
    <w:p w14:paraId="2694F69A" w14:textId="77777777" w:rsidR="00076776" w:rsidRDefault="00000000">
      <w:r>
        <w:t>settler colonial studies, NAIS, Thomas Wolfe, settler state, ongoing colonialism, (attempted) Indigenous erasure</w:t>
      </w:r>
    </w:p>
    <w:p w14:paraId="3BC52678" w14:textId="77777777" w:rsidR="00076776" w:rsidRDefault="00076776"/>
    <w:p w14:paraId="1561B019" w14:textId="77777777" w:rsidR="00076776" w:rsidRDefault="00000000">
      <w:pPr>
        <w:pStyle w:val="Heading2"/>
      </w:pPr>
      <w:r>
        <w:t>Essential quote</w:t>
      </w:r>
    </w:p>
    <w:p w14:paraId="5FAD7523" w14:textId="77777777" w:rsidR="00076776" w:rsidRDefault="00000000">
      <w:r>
        <w:t>11: Since settler colonialism is a structure and not an event, and because indigenous peoples are still subject to that structure—an ongoing genocidal project—NAIS must be engaged in relation to Settler Colonial Studies for any meaningful examination of the US state in the context of American Studies, Cultural Studies, and other related fields.</w:t>
      </w:r>
    </w:p>
    <w:p w14:paraId="1C73B98D" w14:textId="77777777" w:rsidR="00076776" w:rsidRDefault="00076776"/>
    <w:p w14:paraId="1EA2170A" w14:textId="77777777" w:rsidR="00076776" w:rsidRDefault="00000000">
      <w:pPr>
        <w:pStyle w:val="Heading2"/>
      </w:pPr>
      <w:r>
        <w:t>Terms</w:t>
      </w:r>
    </w:p>
    <w:p w14:paraId="4B5A92AE" w14:textId="77777777" w:rsidR="00076776" w:rsidRDefault="00000000">
      <w:r>
        <w:t xml:space="preserve">1: </w:t>
      </w:r>
      <w:r>
        <w:rPr>
          <w:b/>
        </w:rPr>
        <w:t>enduring indigeneity</w:t>
      </w:r>
      <w:r>
        <w:t xml:space="preserve">: I use it in two senses: first, that indigeneity itself is enduring—that the operative logic of settler colonialism may be to “eliminate the native,” as the late English scholar Patrick Wolfe brilliantly theorized, but that indigenous peoples exist, resist, and persist; and second, that settler colonialism is a structure that endures indigeneity, as it holds out against it. </w:t>
      </w:r>
    </w:p>
    <w:p w14:paraId="6CB9F1F4" w14:textId="77777777" w:rsidR="00076776" w:rsidRDefault="00000000">
      <w:r>
        <w:lastRenderedPageBreak/>
        <w:t xml:space="preserve">3: </w:t>
      </w:r>
      <w:r>
        <w:rPr>
          <w:b/>
        </w:rPr>
        <w:t>franchise colonialism</w:t>
      </w:r>
      <w:r>
        <w:t xml:space="preserve">: </w:t>
      </w:r>
    </w:p>
    <w:p w14:paraId="34840831" w14:textId="77777777" w:rsidR="00076776" w:rsidRDefault="00000000">
      <w:r>
        <w:t xml:space="preserve">2 </w:t>
      </w:r>
      <w:r>
        <w:rPr>
          <w:b/>
        </w:rPr>
        <w:t>settler colonialism</w:t>
      </w:r>
      <w:r>
        <w:t xml:space="preserve">: [@Offic@SettState@IndHist@Erase@MandDest] … by distinguishing settler colonialism from genocide, contrasting settler colonialism from franchise colonialism, and—through comparative work focused on Australia, Israel-Palestine, and the United States —showing how the logic of settler colonialism is premised on the elimination of indigenous peoples. [3] … settler colonialism is a land-centered project entailing permanent settlement… [6] Understanding settler colonialism as a structure exposes the fact that colonialism cannot be relegated to the past, even though the past-present should be historicized. The notion that colonialism is something that ends with the dissolving of the British colonies when the original thirteen became the early US states has its counterpart narrative in the myth that indigenous peoples ended when colonialism ended. [8] </w:t>
      </w:r>
      <w:r>
        <w:rPr>
          <w:highlight w:val="magenta"/>
        </w:rPr>
        <w:t>Mark Rifkin’s</w:t>
      </w:r>
      <w:r>
        <w:t xml:space="preserve"> </w:t>
      </w:r>
      <w:r>
        <w:rPr>
          <w:i/>
        </w:rPr>
        <w:t>Settler Common Sense</w:t>
      </w:r>
      <w:r>
        <w:t xml:space="preserve"> is useful here.</w:t>
      </w:r>
      <w:r>
        <w:rPr>
          <w:vertAlign w:val="superscript"/>
        </w:rPr>
        <w:t>12</w:t>
      </w:r>
      <w:r>
        <w:t xml:space="preserve"> He examines how, even while settler colonialism can be characterized as a structure, a system, and a logic, affective networks need to be explored as part of understanding how settler colonial governmentality comes to be lived as the self-evident condition of possibility for (settler) being. Examining how canonical American writers take part in the legacy of displacing Native Americans, he asks, how do varied administrative projects of settlement and accompanying legal categories, geographies, and subjectivities become part of the everyday life of non-Natives? … Instead of suggesting that quotidian forms of settler sensation, self-hood, and possession follow obviously from policy and official legal mandates, he argues that the (shifting) boundaries of settler governance help provide orientation, inclination, and momentum for non- Native experiences of the everyday.</w:t>
      </w:r>
    </w:p>
    <w:p w14:paraId="483AFE84" w14:textId="77777777" w:rsidR="00076776" w:rsidRDefault="00000000">
      <w:r>
        <w:t xml:space="preserve">9-10: </w:t>
      </w:r>
      <w:r>
        <w:rPr>
          <w:b/>
        </w:rPr>
        <w:t>indigeneity</w:t>
      </w:r>
      <w:r>
        <w:t>: “… indigeneity is a category of analysis that is distinct from race, ethnicity, and nationality—even as it entails elements of all three of these. … In terms of both cultural and political struggles, one of the tenets of any claim to indigeneity is that indigenous sovereignty—framed as a responsibility more often than a right—is derived from original occupancy, or at least prior occupancy. Like race, indigeneity is a socially constructed category rather than one based on the notion of immutable biological characteristics. // But taking up indigeneity as a category of analysis is not one and the same as the study of indigenous peoples.</w:t>
      </w:r>
    </w:p>
    <w:p w14:paraId="1A42E912" w14:textId="77777777" w:rsidR="00076776" w:rsidRDefault="00076776"/>
    <w:p w14:paraId="13F40639" w14:textId="77777777" w:rsidR="00076776" w:rsidRDefault="00000000">
      <w:pPr>
        <w:pStyle w:val="Heading2"/>
      </w:pPr>
      <w:r>
        <w:t>Core quotes</w:t>
      </w:r>
    </w:p>
    <w:p w14:paraId="139F7268" w14:textId="77777777" w:rsidR="00076776" w:rsidRDefault="00000000">
      <w:r>
        <w:t>2 @NeoCol@Acad</w:t>
      </w:r>
    </w:p>
    <w:p w14:paraId="66F4AE03" w14:textId="77777777" w:rsidR="00076776" w:rsidRDefault="00000000">
      <w:pPr>
        <w:ind w:left="720"/>
      </w:pPr>
      <w:r>
        <w:t xml:space="preserve">… the logic of the elimination of the native is about the elimination of the native </w:t>
      </w:r>
      <w:r>
        <w:rPr>
          <w:i/>
        </w:rPr>
        <w:t>as native</w:t>
      </w:r>
      <w:r>
        <w:t>. And yet, to exclusively focus on the settler colonial without any meaningful engagement with the indigenous—as has been the case in how Wolfe’s work has been cited—can (re)produce another form of “elimination of the native.”</w:t>
      </w:r>
    </w:p>
    <w:p w14:paraId="53C485B3" w14:textId="77777777" w:rsidR="00076776" w:rsidRDefault="00076776"/>
    <w:p w14:paraId="354A1159" w14:textId="77777777" w:rsidR="00076776" w:rsidRDefault="00000000">
      <w:r>
        <w:t>3 @Thesis@IRs@Decol@Acad@Indig</w:t>
      </w:r>
    </w:p>
    <w:p w14:paraId="75885DB1" w14:textId="77777777" w:rsidR="00076776" w:rsidRDefault="00000000">
      <w:pPr>
        <w:ind w:left="720"/>
      </w:pPr>
      <w:r>
        <w:t xml:space="preserve">I want to revisit the oft cited phrase from Wolfe’s work—that settler colonialism is a structure not an event—to explore why it is that the same locution often seems to stand-in for a serious engagement of his theory and is also perhaps the most neglected aspect of his theory. Moreover, I want to feature a discussion of indigeneity as a counterpart analytic to settler colonialism and offer some of my critical reflections as to why any meaningful engagement with theories of settler colonialism—whether Wolfe’s or others’—necessarily needs to tend to the question of indigeneity. </w:t>
      </w:r>
      <w:r>
        <w:rPr>
          <w:b/>
        </w:rPr>
        <w:t>Settler Colonial Studies does not, should not, and cannot replace Indigenous Studies</w:t>
      </w:r>
      <w:r>
        <w:t>.</w:t>
      </w:r>
    </w:p>
    <w:p w14:paraId="0B7F51C1" w14:textId="77777777" w:rsidR="00076776" w:rsidRDefault="00076776"/>
    <w:p w14:paraId="2E7015BB" w14:textId="77777777" w:rsidR="00076776" w:rsidRDefault="00000000">
      <w:r>
        <w:lastRenderedPageBreak/>
        <w:t>4 @Dual@ISr</w:t>
      </w:r>
    </w:p>
    <w:p w14:paraId="1CFE7EC1" w14:textId="77777777" w:rsidR="00076776" w:rsidRDefault="00000000">
      <w:pPr>
        <w:ind w:left="720"/>
      </w:pPr>
      <w:r>
        <w:t>Goldstein also suggested that the ways in which the citational practice of the theory is enacted tends to produce a binary of settler and native.</w:t>
      </w:r>
      <w:r>
        <w:rPr>
          <w:vertAlign w:val="superscript"/>
        </w:rPr>
        <w:t>8</w:t>
      </w:r>
    </w:p>
    <w:p w14:paraId="6A516117" w14:textId="77777777" w:rsidR="00076776" w:rsidRDefault="00000000">
      <w:pPr>
        <w:ind w:left="1440"/>
      </w:pPr>
      <w:r>
        <w:t xml:space="preserve">8: See Wolfe’s </w:t>
      </w:r>
      <w:r>
        <w:rPr>
          <w:i/>
        </w:rPr>
        <w:t>The Settler Complex: Recuperating Binarism in Colonial Studies</w:t>
      </w:r>
      <w:r>
        <w:t xml:space="preserve"> (Los Angeles: UCLA American Indian Studies Center, 2016).</w:t>
      </w:r>
    </w:p>
    <w:p w14:paraId="4F06AB49" w14:textId="77777777" w:rsidR="00076776" w:rsidRDefault="00076776"/>
    <w:p w14:paraId="4DE5F9FE" w14:textId="77777777" w:rsidR="00076776" w:rsidRDefault="00000000">
      <w:r>
        <w:rPr>
          <w:highlight w:val="green"/>
        </w:rPr>
        <w:t>7 @FFessay@SettState@Topo@Erase@ManDest</w:t>
      </w:r>
      <w:r>
        <w:t>@NeoCol</w:t>
      </w:r>
    </w:p>
    <w:p w14:paraId="0AB46363" w14:textId="77777777" w:rsidR="00076776" w:rsidRDefault="00000000">
      <w:r>
        <w:t xml:space="preserve">Settler toponymic hegemony supports this narrativizing tide: </w:t>
      </w:r>
    </w:p>
    <w:p w14:paraId="455585D6" w14:textId="77777777" w:rsidR="00076776" w:rsidRDefault="00000000">
      <w:pPr>
        <w:ind w:left="720"/>
      </w:pPr>
      <w:r>
        <w:rPr>
          <w:b/>
        </w:rPr>
        <w:t>Erasing and then memorializing</w:t>
      </w:r>
      <w:r>
        <w:t xml:space="preserve"> Indian peoples also served a more practical colonial goal: refuting Indian claims to land and rights. O’Brien found that </w:t>
      </w:r>
      <w:proofErr w:type="gramStart"/>
      <w:r>
        <w:rPr>
          <w:b/>
        </w:rPr>
        <w:t>in order to</w:t>
      </w:r>
      <w:proofErr w:type="gramEnd"/>
      <w:r>
        <w:rPr>
          <w:b/>
        </w:rPr>
        <w:t xml:space="preserve"> convince themselves that the Indians had vanished despite their continued presence, local historians and their readers embraced notions of racial purity rooted in the century’s scientific racism and saw living Indians as “mixed” and therefore no longer “truly Indian.”</w:t>
      </w:r>
      <w:r>
        <w:t xml:space="preserve"> Adaptation to modern life on the part of Indian peoples was used as further evidence of their demise. But Indians did not—and have not—accepted this effacement. This formula persists as a pervasive part of the contemporary normalization of settler colonialism.</w:t>
      </w:r>
    </w:p>
    <w:p w14:paraId="7CFC3768" w14:textId="77777777" w:rsidR="00076776" w:rsidRDefault="00076776">
      <w:pPr>
        <w:rPr>
          <w:b/>
        </w:rPr>
      </w:pPr>
    </w:p>
    <w:p w14:paraId="72E69AB9" w14:textId="77777777" w:rsidR="00076776" w:rsidRDefault="00000000">
      <w:r>
        <w:t>11 @Thesis@Arg</w:t>
      </w:r>
    </w:p>
    <w:p w14:paraId="13CA947C" w14:textId="77777777" w:rsidR="00076776" w:rsidRDefault="00000000">
      <w:pPr>
        <w:ind w:left="720"/>
      </w:pPr>
      <w:r>
        <w:t>Since settler colonialism is a structure and not an event, and because indigenous peoples are still subject to that structure—an ongoing genocidal project—NAIS must be engaged in relation to Settler Colonial Studies for any meaningful examination of the US state in the context of American Studies, Cultural Studies, and other related fields.</w:t>
      </w:r>
    </w:p>
    <w:p w14:paraId="5DAF1477" w14:textId="77777777" w:rsidR="00076776" w:rsidRDefault="00076776"/>
    <w:p w14:paraId="20B0F4A5" w14:textId="77777777" w:rsidR="00076776" w:rsidRDefault="00000000">
      <w:pPr>
        <w:pStyle w:val="Heading2"/>
      </w:pPr>
      <w:r>
        <w:t>Secondary quotes</w:t>
      </w:r>
    </w:p>
    <w:p w14:paraId="3FA6287F" w14:textId="77777777" w:rsidR="00076776" w:rsidRDefault="00000000">
      <w:r>
        <w:t xml:space="preserve">1 </w:t>
      </w:r>
      <w:r>
        <w:rPr>
          <w:b/>
        </w:rPr>
        <w:t>Wolfe insisted on making it clear time and again that he did not create the field of settler colonial studies— that Native scholars did</w:t>
      </w:r>
      <w:r>
        <w:t xml:space="preserve">… / 5 @Poco@Acad That </w:t>
      </w:r>
      <w:r>
        <w:rPr>
          <w:b/>
        </w:rPr>
        <w:t>Settler Colonial Studies seems to have gained more traction than NAIS</w:t>
      </w:r>
      <w:r>
        <w:t xml:space="preserve"> within the field of American Studies is perhaps ironic given that it was NAIS scholars who arguably introduced settler colonialism as an analytic to the field of American Studies in the first place. And this was because NAIS was not being taken seriously enough in the ASA, and American Studies as a field has privileged the frameworks of postcolonialism and multiculturalism. Also, within works attentive to minoritarian discourse, indigeneity is rarely distinguished from race if mentioned at all. For years, it seemed as if scholars—not only in American Studies, but in related fields, as well as even (or especially?) American history—could barely speak of US colonialism. / 6 Native American and Indigenous Studies Association (NAISA), founded in 2008. / 9 Alaska’s Bristol Bay mine project, which has been described as “Ground zero for the next big environmental fight.”14 It is a dispute over a proposed copper and gold mine near Alaska’s Bristol Bay … Six native governing entities have asked the EPA to invoke its powers under the Clean Water Act to block the mine on the grounds that it would harm the region’s waterways …   / 11 </w:t>
      </w:r>
      <w:r>
        <w:rPr>
          <w:b/>
        </w:rPr>
        <w:t>Occupy Wall Street</w:t>
      </w:r>
      <w:r>
        <w:t>, indigenous activists and critics challenged the use of the term “occupy” in relation to an actual history of settler colonial occupation. … indigenous dispossession was the historical precondition for Wall Street itself—</w:t>
      </w:r>
      <w:r>
        <w:rPr>
          <w:b/>
        </w:rPr>
        <w:t>a street with a wall built by the Dutch, in part, to keep the Lenape people out of their homeland</w:t>
      </w:r>
      <w:r>
        <w:t xml:space="preserve"> in what became lower Manhattan—what has become a metonym for the US finance industry—all built on indigenous dispossession. / </w:t>
      </w:r>
    </w:p>
    <w:p w14:paraId="646C5FB5" w14:textId="77777777" w:rsidR="00076776" w:rsidRDefault="00076776"/>
    <w:p w14:paraId="2CA09F36" w14:textId="77777777" w:rsidR="00076776" w:rsidRDefault="00000000">
      <w:pPr>
        <w:pStyle w:val="Heading2"/>
      </w:pPr>
      <w:r>
        <w:lastRenderedPageBreak/>
        <w:t>Notes</w:t>
      </w:r>
    </w:p>
    <w:p w14:paraId="2908A925" w14:textId="77777777" w:rsidR="00076776" w:rsidRDefault="00000000">
      <w:r>
        <w:t xml:space="preserve">@Diss: Jean O’Brien, in </w:t>
      </w:r>
      <w:proofErr w:type="spellStart"/>
      <w:r>
        <w:rPr>
          <w:i/>
        </w:rPr>
        <w:t>Firsting</w:t>
      </w:r>
      <w:proofErr w:type="spellEnd"/>
      <w:r>
        <w:rPr>
          <w:i/>
        </w:rPr>
        <w:t xml:space="preserve"> and Lasting: Writing Indians out of Existence in New England</w:t>
      </w:r>
      <w:r>
        <w:t>, theorizes the persistent myth of the vanishing Indian. … local histories became a primary means by which European Americans asserted their own modernity while denying it to Indian peoples.</w:t>
      </w:r>
    </w:p>
    <w:p w14:paraId="4C4DB1B4" w14:textId="77777777" w:rsidR="00076776" w:rsidRDefault="00076776"/>
    <w:p w14:paraId="5BA7283F" w14:textId="77777777" w:rsidR="00076776" w:rsidRDefault="00000000">
      <w:r>
        <w:t xml:space="preserve">@Diss: Mark Rifkin’s </w:t>
      </w:r>
      <w:r>
        <w:rPr>
          <w:i/>
        </w:rPr>
        <w:t>Settler Common Sense</w:t>
      </w:r>
      <w:r>
        <w:t>.</w:t>
      </w:r>
    </w:p>
    <w:p w14:paraId="36BFDB45" w14:textId="77777777" w:rsidR="00076776" w:rsidRDefault="00000000">
      <w:pPr>
        <w:pStyle w:val="Heading1"/>
      </w:pPr>
      <w:bookmarkStart w:id="14" w:name="_heading=h.lnxbz9" w:colFirst="0" w:colLast="0"/>
      <w:bookmarkEnd w:id="14"/>
      <w:r>
        <w:t xml:space="preserve">*(2017) Barnd, </w:t>
      </w:r>
      <w:r>
        <w:rPr>
          <w:i/>
        </w:rPr>
        <w:t>Native space: Geographic Strategies to Unsettle Settler Colonialism</w:t>
      </w:r>
    </w:p>
    <w:p w14:paraId="794BAC7F" w14:textId="77777777" w:rsidR="00076776" w:rsidRDefault="00076776"/>
    <w:p w14:paraId="67257A72" w14:textId="77777777" w:rsidR="00076776" w:rsidRDefault="00000000">
      <w:pPr>
        <w:pStyle w:val="Heading2"/>
      </w:pPr>
      <w:r>
        <w:t>Abstract</w:t>
      </w:r>
    </w:p>
    <w:p w14:paraId="23D7606D" w14:textId="77777777" w:rsidR="00076776" w:rsidRDefault="00076776"/>
    <w:p w14:paraId="189AF67D" w14:textId="77777777" w:rsidR="00076776" w:rsidRDefault="00076776"/>
    <w:p w14:paraId="0BEED86E" w14:textId="77777777" w:rsidR="00076776" w:rsidRDefault="00000000">
      <w:pPr>
        <w:pStyle w:val="Heading2"/>
      </w:pPr>
      <w:r>
        <w:t>Key words</w:t>
      </w:r>
    </w:p>
    <w:p w14:paraId="64F19E38" w14:textId="77777777" w:rsidR="00076776" w:rsidRDefault="00000000">
      <w:r>
        <w:t>comparative ethnic studies, critical toponymies, indigenous geography, ethnohistory, performance theory, language and translation theory, postcolonial theory, Whiteness studies, cultural studies, cultural geography, history, American Indian studies, social history, and critical cartography</w:t>
      </w:r>
    </w:p>
    <w:p w14:paraId="244FB545" w14:textId="77777777" w:rsidR="00076776" w:rsidRDefault="00076776"/>
    <w:p w14:paraId="20E9D343" w14:textId="77777777" w:rsidR="00076776" w:rsidRDefault="00000000">
      <w:pPr>
        <w:pStyle w:val="Heading2"/>
      </w:pPr>
      <w:r>
        <w:t>Essential quote</w:t>
      </w:r>
    </w:p>
    <w:p w14:paraId="455A77D9" w14:textId="77777777" w:rsidR="00076776" w:rsidRDefault="00000000">
      <w:r>
        <w:t xml:space="preserve">152: [Note this is the last line of the afterword.] Can we rescript and empower new </w:t>
      </w:r>
      <w:proofErr w:type="spellStart"/>
      <w:r>
        <w:t>spatialities</w:t>
      </w:r>
      <w:proofErr w:type="spellEnd"/>
      <w:r>
        <w:t xml:space="preserve"> that are not founded on and dependent on conquest?</w:t>
      </w:r>
    </w:p>
    <w:p w14:paraId="3AB496C0" w14:textId="77777777" w:rsidR="00076776" w:rsidRDefault="00076776"/>
    <w:p w14:paraId="3D081233" w14:textId="77777777" w:rsidR="00076776" w:rsidRDefault="00000000">
      <w:pPr>
        <w:pStyle w:val="Heading2"/>
      </w:pPr>
      <w:r>
        <w:t>Terms</w:t>
      </w:r>
    </w:p>
    <w:p w14:paraId="79AF0F2F" w14:textId="77777777" w:rsidR="00076776" w:rsidRDefault="00000000">
      <w:r>
        <w:t xml:space="preserve">1: </w:t>
      </w:r>
      <w:r>
        <w:rPr>
          <w:b/>
          <w:highlight w:val="green"/>
        </w:rPr>
        <w:t>mundane</w:t>
      </w:r>
      <w:r>
        <w:t>: [@</w:t>
      </w:r>
      <w:proofErr w:type="gramStart"/>
      <w:r>
        <w:t>L?@</w:t>
      </w:r>
      <w:proofErr w:type="gramEnd"/>
      <w:r>
        <w:t>Knote@</w:t>
      </w:r>
      <w:proofErr w:type="gramStart"/>
      <w:r>
        <w:t>Link:</w:t>
      </w:r>
      <w:r>
        <w:rPr>
          <w:highlight w:val="magenta"/>
        </w:rPr>
        <w:t>Berg</w:t>
      </w:r>
      <w:proofErr w:type="gramEnd"/>
      <w:r>
        <w:t>: see “</w:t>
      </w:r>
      <w:hyperlink r:id="rId22" w:anchor="_(2011)_Berg,_">
        <w:r w:rsidR="00076776">
          <w:rPr>
            <w:color w:val="0563C1"/>
            <w:u w:val="single"/>
          </w:rPr>
          <w:t>Banal Naming, Neoliberalism, and Landscapes of Dispossession</w:t>
        </w:r>
      </w:hyperlink>
      <w:r>
        <w:t xml:space="preserve">“ for “banal naming” practices to support this definition.] On the one hand, my attention to everyday spatial activities refers to seemingly noncontroversial practices and policies in tribal communities that nevertheless help confirm and sometimes redefine indigenous geographies. On the other hand, I am also interested in intentionally controversial or evocative artistic practices employed by Native artists who in their work must still rely on and build their “insurgent messages” based on frameworks available from every-day indigenous </w:t>
      </w:r>
      <w:proofErr w:type="spellStart"/>
      <w:r>
        <w:t>spatialities</w:t>
      </w:r>
      <w:proofErr w:type="spellEnd"/>
      <w:r>
        <w:t xml:space="preserve"> (</w:t>
      </w:r>
      <w:r>
        <w:rPr>
          <w:highlight w:val="magenta"/>
        </w:rPr>
        <w:t>Slocum</w:t>
      </w:r>
      <w:r>
        <w:t xml:space="preserve"> 2007). [14] I am consciously emphasizing the power and function of the mundane, or what </w:t>
      </w:r>
      <w:r>
        <w:rPr>
          <w:highlight w:val="magenta"/>
        </w:rPr>
        <w:t>Michael Billig</w:t>
      </w:r>
      <w:r>
        <w:t xml:space="preserve"> calls the “banal,” [15] everyday acts that prove crucial for dominant spatial productions (Billig 1995). Billig’s study </w:t>
      </w:r>
      <w:r>
        <w:rPr>
          <w:b/>
        </w:rPr>
        <w:t>of everyday acts that sustain nationalism</w:t>
      </w:r>
      <w:r>
        <w:t xml:space="preserve"> explains how seemingly meaningless and </w:t>
      </w:r>
      <w:proofErr w:type="spellStart"/>
      <w:r>
        <w:t>nonspectacular</w:t>
      </w:r>
      <w:proofErr w:type="spellEnd"/>
      <w:r>
        <w:t xml:space="preserve"> activities </w:t>
      </w:r>
      <w:proofErr w:type="gramStart"/>
      <w:r>
        <w:t>actually represent</w:t>
      </w:r>
      <w:proofErr w:type="gramEnd"/>
      <w:r>
        <w:t xml:space="preserve"> core sets of artifacts and regular repertoires through which nationalism is understood and on which it is dependent. These small acts effectively set the stage on which “larger” and more explicit enactments of nationalism can take place and make sense. [151] More generally I wonder about other mundane practices of spatiality, particularly indigenous spatiality, that need attention.</w:t>
      </w:r>
    </w:p>
    <w:p w14:paraId="4BE6640D" w14:textId="77777777" w:rsidR="00076776" w:rsidRDefault="00000000">
      <w:r>
        <w:t xml:space="preserve">3: </w:t>
      </w:r>
      <w:r>
        <w:rPr>
          <w:b/>
        </w:rPr>
        <w:t>Indigeneity</w:t>
      </w:r>
      <w:r>
        <w:t xml:space="preserve">, or what might be loosely defined as the “quality of being indigenous,” is deeply embedded within and defined by colonial contestations over land and geography (Radcliffe 2017,1). … Indigeneity originates in and relies on colonial interventions and acts of racialized </w:t>
      </w:r>
      <w:proofErr w:type="gramStart"/>
      <w:r>
        <w:lastRenderedPageBreak/>
        <w:t>differentiation, yet</w:t>
      </w:r>
      <w:proofErr w:type="gramEnd"/>
      <w:r>
        <w:t xml:space="preserve"> also overlaps with self-definitions from those whose ancestors were present on the continent before European arrivals. … Although the idea of the indigenous is dependent on and created through colonial encounter, I also emphasize that both Native and non-Native geographies must deploy divergent frames of indigeneity. … Native peoples invoke indigeneity to mark belonging and relationships to this land as well as to contest colonization and the White possessive (Moreton-Robinson 2015). These contestations over indigeneity matter because they either deny or prepare us for after-colonial geographies, or the spaces of possibility that can emerge should we attend to settler colonialism and critiques of White supremacy.</w:t>
      </w:r>
    </w:p>
    <w:p w14:paraId="609928CD" w14:textId="77777777" w:rsidR="00076776" w:rsidRDefault="00000000">
      <w:r>
        <w:t xml:space="preserve">4: </w:t>
      </w:r>
      <w:r>
        <w:rPr>
          <w:b/>
          <w:highlight w:val="green"/>
        </w:rPr>
        <w:t>inhabiting</w:t>
      </w:r>
      <w:r>
        <w:t>: @</w:t>
      </w:r>
      <w:proofErr w:type="gramStart"/>
      <w:r>
        <w:t>Link:</w:t>
      </w:r>
      <w:r>
        <w:rPr>
          <w:highlight w:val="magenta"/>
        </w:rPr>
        <w:t>Sen</w:t>
      </w:r>
      <w:proofErr w:type="gramEnd"/>
      <w:r>
        <w:t xml:space="preserve"> </w:t>
      </w:r>
      <w:r>
        <w:rPr>
          <w:highlight w:val="green"/>
        </w:rPr>
        <w:t>See Sen’s ideas of “dwelling” on “Other Worlds, Other Maps” essay</w:t>
      </w:r>
      <w:r>
        <w:t xml:space="preserve">.] To work toward this task, this book attends to the practice of inhabiting as one of the powerfully mundane or “common sense” ways spaces are enacted, justified, and sustained. I forefront inhabiting </w:t>
      </w:r>
      <w:proofErr w:type="gramStart"/>
      <w:r>
        <w:t>in order to</w:t>
      </w:r>
      <w:proofErr w:type="gramEnd"/>
      <w:r>
        <w:t xml:space="preserve"> clarify the spatiality embedded within indigeneity and Indianness, and to both highlight and distinguish between the kinds of everyday (spatial) practices that produce either settler or indigenous geographies (Billig 1995; Rifkin 2013, 2014). [</w:t>
      </w:r>
      <w:proofErr w:type="gramStart"/>
      <w:r>
        <w:t>5]…</w:t>
      </w:r>
      <w:proofErr w:type="gramEnd"/>
      <w:r>
        <w:t xml:space="preserve"> inhabiting signals the moment(s) when a body is situated in a particular physical location. It is also a verb, implying some sort of spatially defined and relational set of actions. </w:t>
      </w:r>
      <w:r>
        <w:rPr>
          <w:b/>
        </w:rPr>
        <w:t>Inhabiting describes a frame used for establishing belonging or home, a relation to place. … this term also refers to spatial production: to the process of making meaning in relation to the land where bodies are situated.</w:t>
      </w:r>
      <w:r>
        <w:t xml:space="preserve"> [7] My use of “inhabiting” thus builds on </w:t>
      </w:r>
      <w:r>
        <w:rPr>
          <w:highlight w:val="magenta"/>
        </w:rPr>
        <w:t>Moreton-Robinson</w:t>
      </w:r>
      <w:r>
        <w:t>’s notion of a “white possessive” that racially frames settler colonialism and on Rifkin’s attention to the crucial and reproductive role everyday enactments (or productions) of space play in materializing and sustaining the logics of possession and the formal mechanisms of dispossession (Rifkin 2013, 337). Perhaps most usefully, inhabiting reminds us how spatial enactments can be practiced and (re)arranged in sometimes unexpected ways toward different kinds of relations to lands, or different geographies.</w:t>
      </w:r>
    </w:p>
    <w:p w14:paraId="6EBF37C2" w14:textId="77777777" w:rsidR="00076776" w:rsidRDefault="00000000">
      <w:r>
        <w:t xml:space="preserve">4: </w:t>
      </w:r>
      <w:r>
        <w:rPr>
          <w:b/>
        </w:rPr>
        <w:t>Indianness</w:t>
      </w:r>
      <w:r>
        <w:t xml:space="preserve"> encompasses a dialectical and sometimes oppositional set of understandings about Native peoples in what is now the United States. Indianness references indigenous self-definitions as well as definitions that are externally imposed and sometimes mythological. … to the supposedly self-evident identity category of “Indians” as well as all the varied meanings generated within and across diverse and complicated Native communities and histories. … has also come to serve as a useful shorthand for </w:t>
      </w:r>
      <w:proofErr w:type="gramStart"/>
      <w:r>
        <w:t>individuals’</w:t>
      </w:r>
      <w:proofErr w:type="gramEnd"/>
      <w:r>
        <w:t xml:space="preserve"> grounded personal or tribal experiences, for pan-tribal identifications, and for acts of strategic essentialism (Hertzberg 1981; Spivak 1987). In these ways, “Indianness” is used by but not fully owned by Native peoples (</w:t>
      </w:r>
      <w:proofErr w:type="spellStart"/>
      <w:r>
        <w:t>Berkhofer</w:t>
      </w:r>
      <w:proofErr w:type="spellEnd"/>
      <w:r>
        <w:t xml:space="preserve"> 1978). Indianness contains a tension that is continually [5] being negotiated and stretched into service by different constituencies. …  I intend the term “Indianness” to signal both non-Native usages of the Indian toward the production of space and the Native dis/engagements with those appropriative and imposed usages toward the same purpose.</w:t>
      </w:r>
    </w:p>
    <w:p w14:paraId="38CAEDE9" w14:textId="77777777" w:rsidR="00076776" w:rsidRDefault="00000000">
      <w:r>
        <w:t xml:space="preserve">7: </w:t>
      </w:r>
      <w:r>
        <w:rPr>
          <w:b/>
          <w:highlight w:val="green"/>
        </w:rPr>
        <w:t>colonialism</w:t>
      </w:r>
      <w:r>
        <w:t>: [@FFessay@Map@L</w:t>
      </w:r>
      <w:proofErr w:type="gramStart"/>
      <w:r>
        <w:t>?]…</w:t>
      </w:r>
      <w:proofErr w:type="gramEnd"/>
      <w:r>
        <w:t xml:space="preserve"> stands for the “conquest and control of other people’s lands and goods,” although we must be aware that the modes and configurations of such “conquest and control” vary greatly (</w:t>
      </w:r>
      <w:r>
        <w:rPr>
          <w:highlight w:val="magenta"/>
        </w:rPr>
        <w:t>Loomba</w:t>
      </w:r>
      <w:r>
        <w:t xml:space="preserve"> 2015, 20). [8] Colonialism, in its “purest” form, has traditionally been understood as an unequal power relationship wherein a dominating population extracts labor and/or resources from a subordinated population of an “external” location. “A colonial system of relationships,” Lorenzo Veracini points out, “is premised on the presence and subjugation of exploitable ‘Others’” (Veracini 2014, 615). … colonialism fundamentally describes a geographic relationship, one in which “differing” geographies serve as a mechanism for producing and maintaining unequal power relations with a “home” geography.</w:t>
      </w:r>
    </w:p>
    <w:p w14:paraId="5C15D4CA" w14:textId="77777777" w:rsidR="00076776" w:rsidRDefault="00000000">
      <w:pPr>
        <w:ind w:left="720"/>
      </w:pPr>
      <w:r>
        <w:lastRenderedPageBreak/>
        <w:t xml:space="preserve">[8] </w:t>
      </w:r>
      <w:r>
        <w:rPr>
          <w:b/>
        </w:rPr>
        <w:t>plantation colonialism</w:t>
      </w:r>
      <w:r>
        <w:t xml:space="preserve">: The seventeenth- and eighteenth-century sugar plantations established by Europeans in the Caribbean represent one concrete example of colonialism: in this case, plantation colonialism. The history of these plantations illuminates a unique element in European colonialism. </w:t>
      </w:r>
    </w:p>
    <w:p w14:paraId="4C913EB8" w14:textId="77777777" w:rsidR="00076776" w:rsidRDefault="00000000">
      <w:pPr>
        <w:ind w:left="720"/>
      </w:pPr>
      <w:r>
        <w:rPr>
          <w:b/>
        </w:rPr>
        <w:t>European colonialism</w:t>
      </w:r>
      <w:r>
        <w:t>: European colonialism developed mutually with concepts of race and the corresponding practices of racism, as well as with capitalism (Blaut 1993; Césaire 1972; Goldberg 1993). Through the frame of a newly emerging racial logic targeting non-Europeans, the European “idea of the colonial world [9] became one of a people intrinsically inferior, not just outside history and civilization, but genetically pre-determined to inferiority. Their subjections was not just a matter of profit and convenience but also could be constructed as a natural state” (Ashcroft, Griffiths, and Tiffin 1998, 47).</w:t>
      </w:r>
    </w:p>
    <w:p w14:paraId="7B2003EA" w14:textId="77777777" w:rsidR="00076776" w:rsidRDefault="00000000">
      <w:pPr>
        <w:ind w:left="720"/>
      </w:pPr>
      <w:r>
        <w:t xml:space="preserve">[9] </w:t>
      </w:r>
      <w:r>
        <w:rPr>
          <w:b/>
        </w:rPr>
        <w:t>Settler colonialism</w:t>
      </w:r>
      <w:r>
        <w:t>: … describes a form of colonialism wherein nonindigenous or “settler” populations implant themselves in new lands. … “In the case of colonialism what is reproduced is an (unequal) relationship, while in the case of settler colonialism, what is reproduced is a biopolitical entity” (</w:t>
      </w:r>
      <w:r>
        <w:rPr>
          <w:highlight w:val="magenta"/>
        </w:rPr>
        <w:t>Veracini</w:t>
      </w:r>
      <w:r>
        <w:t xml:space="preserve"> 2014, 627; emphasis original). Patrick Wolfe summarizes the same process by offering this succinct assessment: “Settler colonialism destroys to replace” (</w:t>
      </w:r>
      <w:r>
        <w:rPr>
          <w:highlight w:val="magenta"/>
        </w:rPr>
        <w:t>Wolfe</w:t>
      </w:r>
      <w:r>
        <w:t xml:space="preserve"> 2006, 388). Settlers initiate a fundamental transformation in the demographics, cultures, and physical landscape of colonized lands. Settler presence is the core feature of this mode of domination, with the goal of establishing a new home to solidify territorial claims. [11] In settler colonialism, however, land rather than people proves the most immediate mechanism for domination and the core point of contention for both colonizer and colonized.</w:t>
      </w:r>
    </w:p>
    <w:p w14:paraId="16431781" w14:textId="77777777" w:rsidR="00076776" w:rsidRDefault="00000000">
      <w:pPr>
        <w:ind w:left="720"/>
      </w:pPr>
      <w:r>
        <w:rPr>
          <w:b/>
        </w:rPr>
        <w:t>British North American settler colonialism</w:t>
      </w:r>
      <w:r>
        <w:t xml:space="preserve">, in which indigenous peoples were not broadly incorporated into the settler societies, and in which they usually resisted such efforts when pursued. Disease often devastated indigenous populations, yet settlers also actively used warfare as well as political, “legal,” and other-than-legal means to actively dispossess them of lands. [10] In terms of the settlers, for example, </w:t>
      </w:r>
      <w:r>
        <w:rPr>
          <w:highlight w:val="magenta"/>
        </w:rPr>
        <w:t>Jodi Byrd</w:t>
      </w:r>
      <w:r>
        <w:t xml:space="preserve"> notes that settler colonialism </w:t>
      </w:r>
      <w:proofErr w:type="gramStart"/>
      <w:r>
        <w:t>recruits</w:t>
      </w:r>
      <w:proofErr w:type="gramEnd"/>
      <w:r>
        <w:t xml:space="preserve"> people from both the colonizing nation and beyond in the form of servants, laborers, slaves, immigrants, and refugees (Byrd 2011). She thereby differentiates between settlers and what she calls “</w:t>
      </w:r>
      <w:proofErr w:type="spellStart"/>
      <w:r>
        <w:rPr>
          <w:highlight w:val="green"/>
        </w:rPr>
        <w:t>arrivants</w:t>
      </w:r>
      <w:proofErr w:type="spellEnd"/>
      <w:r>
        <w:t>,” those largely non-White, nonindigenous peoples that likewise arrive and occupy the land even as they do not arrive under the same circumstances or positionalities…. we must note how the dominant settler colonial geographies continually work to submerge indigenous ones.</w:t>
      </w:r>
    </w:p>
    <w:p w14:paraId="26E96E21" w14:textId="77777777" w:rsidR="00076776" w:rsidRDefault="00000000">
      <w:r>
        <w:t xml:space="preserve">11: </w:t>
      </w:r>
      <w:r>
        <w:rPr>
          <w:b/>
        </w:rPr>
        <w:t>postcolonialism</w:t>
      </w:r>
      <w:r>
        <w:t>: As Blunt and McEwan explain, “the ‘post’ of ‘postcolonialism’ has two meanings, referring to a temporal aftermath—a period of time after colonialism—and a critical aftermath—cultures, [12] discourses and critiques that lie beyond, but remain closely influenced by, colonialism” (Blunt and McEwan 2002, 3; emphasis original). The notion of postcolonialism as an analytical tool and as an account of the “critical aftermath” of colonialism is therefore closely tied to a recognition of the emergence of neocolonialism, which encompasses global economic domination regardless of historic colonial relations and carves out new forms of domination operating entirely through the forces of globalization. This project uses the concept of postcolonialism to focus on those critical intellectual and material interventions against colonial and ongoing neocolonial practices still in need of confrontation.</w:t>
      </w:r>
    </w:p>
    <w:p w14:paraId="6432BFA7" w14:textId="77777777" w:rsidR="00076776" w:rsidRDefault="00000000">
      <w:r>
        <w:t xml:space="preserve">12: </w:t>
      </w:r>
      <w:r>
        <w:rPr>
          <w:b/>
          <w:highlight w:val="green"/>
        </w:rPr>
        <w:t>neocolonialism</w:t>
      </w:r>
      <w:r>
        <w:t>: [@</w:t>
      </w:r>
      <w:proofErr w:type="gramStart"/>
      <w:r>
        <w:t>NeoCol]…</w:t>
      </w:r>
      <w:proofErr w:type="gramEnd"/>
      <w:r>
        <w:t xml:space="preserve"> directly translates to a “new” form of colonialism, sustains persistent structures of “cultural, economic, and political inequalities” and perpetuates the </w:t>
      </w:r>
      <w:r>
        <w:lastRenderedPageBreak/>
        <w:t xml:space="preserve">“endurance of colonial discourses” that originate with colonization and yet “persist long after the end of formal political colonization” (Nash 2002, 220). Ashcroft and colleagues point out that Kwame Nkrumah (who first coined this term in his book </w:t>
      </w:r>
      <w:r>
        <w:rPr>
          <w:i/>
        </w:rPr>
        <w:t>Neo-Colonialism: The Last Stage of Imperialism</w:t>
      </w:r>
      <w:r>
        <w:t xml:space="preserve">) identified the ways neocolonialism was actually “more insidious and more difficult to detect and resist than the older overt colonialism” (Ashcroft et al. 1998,163; Nkrumah 1966). … what Veracini labels a “mutated” and more evasive “strain” of colonial domination points to the ways that neocolonialism operates through </w:t>
      </w:r>
      <w:r>
        <w:rPr>
          <w:b/>
        </w:rPr>
        <w:t>hegemony</w:t>
      </w:r>
      <w:r>
        <w:t xml:space="preserve"> rather than through direct force, and thus the mechanisms of domination and the resulting spatial configurations are more easily naturalized and less easily confronted (Gramsci 1971; Veracini 2014).</w:t>
      </w:r>
    </w:p>
    <w:p w14:paraId="09EF5771" w14:textId="77777777" w:rsidR="00076776" w:rsidRDefault="00000000">
      <w:r>
        <w:t xml:space="preserve">13: </w:t>
      </w:r>
      <w:r>
        <w:rPr>
          <w:b/>
        </w:rPr>
        <w:t>space</w:t>
      </w:r>
      <w:r>
        <w:t>: When I use the terms “spatiality” and “</w:t>
      </w:r>
      <w:proofErr w:type="spellStart"/>
      <w:r>
        <w:t>spatialities</w:t>
      </w:r>
      <w:proofErr w:type="spellEnd"/>
      <w:r>
        <w:t xml:space="preserve">,” I am actively marking and recalling the fact that space is a </w:t>
      </w:r>
      <w:proofErr w:type="gramStart"/>
      <w:r>
        <w:t>production, and</w:t>
      </w:r>
      <w:proofErr w:type="gramEnd"/>
      <w:r>
        <w:t xml:space="preserve"> is always multiple. In </w:t>
      </w:r>
      <w:r>
        <w:rPr>
          <w:i/>
        </w:rPr>
        <w:t>The Production of Space</w:t>
      </w:r>
      <w:r>
        <w:t xml:space="preserve">, </w:t>
      </w:r>
      <w:r>
        <w:rPr>
          <w:highlight w:val="magenta"/>
        </w:rPr>
        <w:t>Henri Lefebvre</w:t>
      </w:r>
      <w:r>
        <w:t xml:space="preserve"> provides the core theoretical reframing of space as something other than a simple blank stage upon which social actors gather and interact (Lefebvre 1991). He explains that space is a product of our social imaginings and actions, which coalesce into coherence as well as material form.</w:t>
      </w:r>
      <w:r>
        <w:rPr>
          <w:highlight w:val="yellow"/>
        </w:rPr>
        <w:t xml:space="preserve"> Spatial productions express and secure dominance most effectively when seen as merely existing—as supposed natural expressions of the world-as-it-is.</w:t>
      </w:r>
      <w:r>
        <w:t xml:space="preserve"> In this way, spatiality signals the individual and collective processes we engage in to produce space and the ways that we are also produced by spaces.</w:t>
      </w:r>
    </w:p>
    <w:p w14:paraId="3DFA4180" w14:textId="77777777" w:rsidR="00076776" w:rsidRDefault="00000000">
      <w:r>
        <w:t xml:space="preserve">13: </w:t>
      </w:r>
      <w:r>
        <w:rPr>
          <w:b/>
        </w:rPr>
        <w:t>power</w:t>
      </w:r>
      <w:r>
        <w:t>: … an analysis of space must fundamentally hold the exercise of power as one of its principal features. As John Allen argues, “power is inherently spatial and, conversely, spatiality is imbued with power” (Allen 2003, 3; emphasis original). In the context of settler colonialism and neocolonialism, we can readily see how space is imbued with power since it is not only hegemonic in conveying a sense of the geography of the nation-state as being just “common sense,” but it has also been actively utilized in dispossession and disempowerment toward the benefit of one group of peoples over another.</w:t>
      </w:r>
    </w:p>
    <w:p w14:paraId="44AF8EDC" w14:textId="77777777" w:rsidR="00076776" w:rsidRDefault="00000000">
      <w:r>
        <w:t xml:space="preserve">13: </w:t>
      </w:r>
      <w:r>
        <w:rPr>
          <w:b/>
        </w:rPr>
        <w:t xml:space="preserve">indigenous and settler </w:t>
      </w:r>
      <w:proofErr w:type="spellStart"/>
      <w:r>
        <w:rPr>
          <w:b/>
        </w:rPr>
        <w:t>spatialities</w:t>
      </w:r>
      <w:proofErr w:type="spellEnd"/>
      <w:r>
        <w:t>: two shapes of engagement centered on the relation- ship to the lands of North America and the frames for making sense of those [14] relationships. … these categories of spatiality can be viewed in relation to one another, intimately formed by the experience of encounter and subsequent reconfigurations of land, culture, and agency.</w:t>
      </w:r>
    </w:p>
    <w:p w14:paraId="1E087314" w14:textId="77777777" w:rsidR="00076776" w:rsidRDefault="00000000">
      <w:r>
        <w:t xml:space="preserve">14: </w:t>
      </w:r>
      <w:r>
        <w:rPr>
          <w:b/>
        </w:rPr>
        <w:t>Doctrine of Discovery and terra nullius</w:t>
      </w:r>
      <w:r>
        <w:t xml:space="preserve">: At the onset of colonialism, the Doctrine of Discovery predicated conferral of dominion on both the inability and the unwillingness of Europeans to recognize or respect indigenous </w:t>
      </w:r>
      <w:proofErr w:type="spellStart"/>
      <w:r>
        <w:t>spatialities</w:t>
      </w:r>
      <w:proofErr w:type="spellEnd"/>
      <w:r>
        <w:t xml:space="preserve"> (treaty or not). Thus, we find concepts like terra nullius and the “virgin landscape,” both of which relied on a Western spatiality rooted in intentional, observable, and demarcated human interventions in the processes of the natural world. This world was thus quickly overlaid with abstract space to render it recognizable, manageable, and alienable. … </w:t>
      </w:r>
      <w:r>
        <w:rPr>
          <w:b/>
        </w:rPr>
        <w:t>Settlers simply interpreted indigeneity as either lacking proper spatiality or without sufficient authority and moral capacity</w:t>
      </w:r>
      <w:r>
        <w:t>.</w:t>
      </w:r>
    </w:p>
    <w:p w14:paraId="453381FC" w14:textId="77777777" w:rsidR="00076776" w:rsidRDefault="00076776"/>
    <w:p w14:paraId="640E7178" w14:textId="77777777" w:rsidR="00076776" w:rsidRDefault="00000000">
      <w:pPr>
        <w:pStyle w:val="Heading2"/>
      </w:pPr>
      <w:r>
        <w:t>Core quotes</w:t>
      </w:r>
    </w:p>
    <w:p w14:paraId="1923E907" w14:textId="77777777" w:rsidR="00076776" w:rsidRDefault="00000000">
      <w:r>
        <w:t>I @</w:t>
      </w:r>
      <w:proofErr w:type="gramStart"/>
      <w:r>
        <w:t>L?@</w:t>
      </w:r>
      <w:proofErr w:type="gramEnd"/>
      <w:r>
        <w:t xml:space="preserve">IndHist@FFessay </w:t>
      </w:r>
    </w:p>
    <w:p w14:paraId="11AF829E" w14:textId="77777777" w:rsidR="00076776" w:rsidRDefault="00000000">
      <w:pPr>
        <w:ind w:left="720"/>
      </w:pPr>
      <w:r>
        <w:t xml:space="preserve">Indigenous geographies proclaim “we are still here” in a most grounded way. In the context of a settler colonial world, they serve as reminder of presence despite centuries of material, philosophical, and social structures founded on producing Native absence. Indigenous continuations also illustrate that geographies are not simply places. … </w:t>
      </w:r>
      <w:r>
        <w:rPr>
          <w:b/>
        </w:rPr>
        <w:t xml:space="preserve">Indigenous geographies have quietly overlapped and coexisted in tension with the geographies of the settler colonial state. They have been </w:t>
      </w:r>
      <w:proofErr w:type="gramStart"/>
      <w:r>
        <w:rPr>
          <w:b/>
        </w:rPr>
        <w:t>submerged, but</w:t>
      </w:r>
      <w:proofErr w:type="gramEnd"/>
      <w:r>
        <w:rPr>
          <w:b/>
        </w:rPr>
        <w:t xml:space="preserve"> not </w:t>
      </w:r>
      <w:r>
        <w:rPr>
          <w:b/>
        </w:rPr>
        <w:lastRenderedPageBreak/>
        <w:t xml:space="preserve">eliminated. … </w:t>
      </w:r>
      <w:r>
        <w:t xml:space="preserve">Given the distinctive space-centered epistemologies that form the bases of indigenous relationships with the land it is not surprising that indigenous communities and individuals seek to re-narrate place or reclaim indigenous geographies rather than merely capitulate to the force of national “progress” and [II] inclusion. </w:t>
      </w:r>
    </w:p>
    <w:p w14:paraId="1532AF68" w14:textId="77777777" w:rsidR="00076776" w:rsidRDefault="00076776"/>
    <w:p w14:paraId="547FF19C" w14:textId="77777777" w:rsidR="00076776" w:rsidRDefault="00000000">
      <w:r>
        <w:rPr>
          <w:highlight w:val="green"/>
        </w:rPr>
        <w:t>5 @Epistem@Ontol@IK@SpacePlace@FFessay@Diss@</w:t>
      </w:r>
      <w:proofErr w:type="gramStart"/>
      <w:r>
        <w:rPr>
          <w:highlight w:val="green"/>
        </w:rPr>
        <w:t>Motherlode!</w:t>
      </w:r>
      <w:r>
        <w:t>@</w:t>
      </w:r>
      <w:proofErr w:type="gramEnd"/>
      <w:r>
        <w:t>OralEx</w:t>
      </w:r>
    </w:p>
    <w:p w14:paraId="4B64DCCA" w14:textId="77777777" w:rsidR="00076776" w:rsidRDefault="00000000">
      <w:pPr>
        <w:ind w:left="720"/>
      </w:pPr>
      <w:r>
        <w:t>I argue that indigenous geographies can never be just a response to settler colonialism if they signal the continuation (however adaptive or appropriative) of precolonial epistemologies, ontologies, and practices. To think otherwise is to assume completion of the colonial project, to freeze history and space, and thus to encapsulate and ventriloquize indigeneity solely via Eurocentric and state logics.</w:t>
      </w:r>
    </w:p>
    <w:p w14:paraId="77771988" w14:textId="77777777" w:rsidR="00076776" w:rsidRDefault="00076776"/>
    <w:p w14:paraId="2F1B62AE" w14:textId="77777777" w:rsidR="00076776" w:rsidRDefault="00000000">
      <w:pPr>
        <w:ind w:left="720"/>
      </w:pPr>
      <w:r>
        <w:t>[</w:t>
      </w:r>
      <w:proofErr w:type="gramStart"/>
      <w:r>
        <w:t>6]Native</w:t>
      </w:r>
      <w:proofErr w:type="gramEnd"/>
      <w:r>
        <w:t xml:space="preserve"> space likewise tends to be based on inhabitants that “make their way through a world-in-formation,” intimately accounting for and centering the processes and relations between elements like land, rock, water, air, clouds, smoke, wind, and weather (Ingold 2007, S32; emphasis original). </w:t>
      </w:r>
      <w:r>
        <w:rPr>
          <w:b/>
        </w:rPr>
        <w:t>This contrasts with modern Eurocentric models that</w:t>
      </w:r>
      <w:r>
        <w:t xml:space="preserve"> </w:t>
      </w:r>
      <w:r>
        <w:rPr>
          <w:b/>
        </w:rPr>
        <w:t>position humans as “</w:t>
      </w:r>
      <w:proofErr w:type="spellStart"/>
      <w:r>
        <w:rPr>
          <w:b/>
        </w:rPr>
        <w:t>exhabiting</w:t>
      </w:r>
      <w:proofErr w:type="spellEnd"/>
      <w:r>
        <w:rPr>
          <w:b/>
        </w:rPr>
        <w:t>” the surface of the planet, and thus being “stranded on a closed surface” and seeing the world only through metaphors of interior or contained spaces.</w:t>
      </w:r>
      <w:r>
        <w:t xml:space="preserve"> </w:t>
      </w:r>
      <w:r>
        <w:rPr>
          <w:b/>
        </w:rPr>
        <w:t>Such a frame explains the desire and impetus to extend control and shape the nonhuman world and to ignore processes and relationships except where directly harvestable.</w:t>
      </w:r>
      <w:r>
        <w:t xml:space="preserve"> This illustrates a core difference between indigenous and settler geographies. This conception of inhabiting as a frame of reference for engagement with context can also reframe settler colonial engagement with indigeneity. … Indeed, if settler colonialism is a structure rather than event, as </w:t>
      </w:r>
      <w:r>
        <w:rPr>
          <w:highlight w:val="magenta"/>
        </w:rPr>
        <w:t>Patrick Wolfe</w:t>
      </w:r>
      <w:r>
        <w:t xml:space="preserve"> suggests, then I argue that inhabiting Indianness represents one of the necessary modes for ongoing settling and the process of sustaining settler geographies (Wolfe 2006, 388). As a mode of presence, justification, and relation, indigenous persistence and indigenous geographies also require </w:t>
      </w:r>
      <w:r>
        <w:rPr>
          <w:b/>
        </w:rPr>
        <w:t>inhabiting</w:t>
      </w:r>
      <w:r>
        <w:t>. When Native peoples re-inhabit Indianness (or [@FFessay]</w:t>
      </w:r>
      <w:r>
        <w:rPr>
          <w:highlight w:val="green"/>
        </w:rPr>
        <w:t>manifest indigeneity</w:t>
      </w:r>
      <w:r>
        <w:t xml:space="preserve">), they signal the ongoing ways that indigenous peoples reject White possession of the Americas that appears so inevitable and yet invisible to non-Native peoples. “For indigenous people,” Aileen Moreton-Robinson notes, “white possession is not unmarked, unnamed, or [7] invisible; it is </w:t>
      </w:r>
      <w:proofErr w:type="spellStart"/>
      <w:r>
        <w:t>hypervisible</w:t>
      </w:r>
      <w:proofErr w:type="spellEnd"/>
      <w:r>
        <w:t>” (Moreton-Robinson 2015, xiii). Thus, in the face of the overwhelming possessive logics of Whiteness and settler colonialism, indigenous peoples sustain Native geographies that unsettle and create “</w:t>
      </w:r>
      <w:r>
        <w:rPr>
          <w:highlight w:val="red"/>
        </w:rPr>
        <w:t>ontological disturbance</w:t>
      </w:r>
      <w:r>
        <w:t xml:space="preserve">.”  </w:t>
      </w:r>
    </w:p>
    <w:p w14:paraId="48A572D2" w14:textId="77777777" w:rsidR="00076776" w:rsidRDefault="00076776"/>
    <w:p w14:paraId="0E32B251" w14:textId="77777777" w:rsidR="00076776" w:rsidRDefault="00000000">
      <w:r>
        <w:t xml:space="preserve">In the above, and from “manifest indigeneity” onward, I can build an entire paper, perhaps: this idea of inhabiting </w:t>
      </w:r>
      <w:r>
        <w:rPr>
          <w:i/>
        </w:rPr>
        <w:t>through maps</w:t>
      </w:r>
      <w:r>
        <w:t xml:space="preserve">. Tie this to the </w:t>
      </w:r>
      <w:r>
        <w:rPr>
          <w:i/>
        </w:rPr>
        <w:t>Whose Land</w:t>
      </w:r>
      <w:r>
        <w:t xml:space="preserve"> </w:t>
      </w:r>
      <w:proofErr w:type="gramStart"/>
      <w:r>
        <w:t>app, and</w:t>
      </w:r>
      <w:proofErr w:type="gramEnd"/>
      <w:r>
        <w:t xml:space="preserve"> examine the inevitable problems of boundaries and settler sources that many Indigenous cartographers </w:t>
      </w:r>
      <w:proofErr w:type="gramStart"/>
      <w:r>
        <w:t>have to</w:t>
      </w:r>
      <w:proofErr w:type="gramEnd"/>
      <w:r>
        <w:t xml:space="preserve"> work against and with, respectively. </w:t>
      </w:r>
    </w:p>
    <w:p w14:paraId="49EF809A" w14:textId="77777777" w:rsidR="00076776" w:rsidRDefault="00076776"/>
    <w:p w14:paraId="0425701C" w14:textId="77777777" w:rsidR="00076776" w:rsidRDefault="00000000">
      <w:r>
        <w:t>12 @NeoCol@</w:t>
      </w:r>
      <w:proofErr w:type="gramStart"/>
      <w:r>
        <w:t>L?@</w:t>
      </w:r>
      <w:proofErr w:type="gramEnd"/>
      <w:r>
        <w:t>SpacePlace</w:t>
      </w:r>
    </w:p>
    <w:p w14:paraId="2B4AA5AF" w14:textId="77777777" w:rsidR="00076776" w:rsidRDefault="00000000">
      <w:pPr>
        <w:ind w:left="720"/>
      </w:pPr>
      <w:r>
        <w:t xml:space="preserve">Often still overlooked is the way that settler colonialism continues, and that it heavily overlaps with neocolonialism. This overlap points directly to </w:t>
      </w:r>
      <w:r>
        <w:rPr>
          <w:b/>
        </w:rPr>
        <w:t>the role of geography</w:t>
      </w:r>
      <w:r>
        <w:t xml:space="preserve">. English (and now multicultural) settler societies currently present a confluence of direct intervention and indirect neocolonial structures in relation to indigenous peoples. When </w:t>
      </w:r>
      <w:r>
        <w:lastRenderedPageBreak/>
        <w:t>the United States is positioned as a postcolonial nation or is denied as an example of domination in relation to indigenous peoples, it furthers the entrenchment still reliant on a land base predicated on continual indigenous dispossession.</w:t>
      </w:r>
    </w:p>
    <w:p w14:paraId="69C2F74C" w14:textId="77777777" w:rsidR="00076776" w:rsidRDefault="00076776"/>
    <w:p w14:paraId="77961ECF" w14:textId="77777777" w:rsidR="00076776" w:rsidRDefault="00000000">
      <w:r>
        <w:t>16 @Erase@FFessay@Border@SpacePlace@Hegem</w:t>
      </w:r>
    </w:p>
    <w:p w14:paraId="5528E33C" w14:textId="77777777" w:rsidR="00076776" w:rsidRDefault="00000000">
      <w:pPr>
        <w:ind w:left="720"/>
      </w:pPr>
      <w:r>
        <w:t xml:space="preserve">We find that while non-White racialized and </w:t>
      </w:r>
      <w:proofErr w:type="spellStart"/>
      <w:r>
        <w:t>nonheterosexual</w:t>
      </w:r>
      <w:proofErr w:type="spellEnd"/>
      <w:r>
        <w:t xml:space="preserve"> space is always constructed as a kind of borderlands delineating the outer boundaries of a “central” normative White space, the spaces that reference Native people dramatically break from this practice and are commonly used where they can directly designate normative White spaces. In contrast to tribal communities and their diverse use of indigeneity, these communities draw from a simplified template without significant variation (“Indian”) that operates within the logic of colonialism and multicultural incorporation. These efforts ultimately render Native peoples absent and </w:t>
      </w:r>
      <w:proofErr w:type="gramStart"/>
      <w:r>
        <w:t>invisible, and</w:t>
      </w:r>
      <w:proofErr w:type="gramEnd"/>
      <w:r>
        <w:t xml:space="preserve"> represent a characteristically mundane and concrete example of neocolonial spatial projects.</w:t>
      </w:r>
    </w:p>
    <w:p w14:paraId="1CA24E30" w14:textId="77777777" w:rsidR="00076776" w:rsidRDefault="00076776">
      <w:pPr>
        <w:ind w:left="720"/>
      </w:pPr>
    </w:p>
    <w:p w14:paraId="199E55AA" w14:textId="77777777" w:rsidR="00076776" w:rsidRDefault="00000000">
      <w:pPr>
        <w:pStyle w:val="Heading2"/>
      </w:pPr>
      <w:r>
        <w:t>Secondary quotes</w:t>
      </w:r>
    </w:p>
    <w:p w14:paraId="6A492682" w14:textId="77777777" w:rsidR="00076776" w:rsidRDefault="00000000">
      <w:r>
        <w:t xml:space="preserve">[Introduction] 2 @Thesis: … this book centers Native space-making practices </w:t>
      </w:r>
      <w:proofErr w:type="gramStart"/>
      <w:r>
        <w:t>in order to</w:t>
      </w:r>
      <w:proofErr w:type="gramEnd"/>
      <w:r>
        <w:t xml:space="preserve"> illustrate how indigenous geographies persist within and confront the US settler colonial nation. I proceed under the understanding that indigeneity and space are mutually bound frameworks, and yet they </w:t>
      </w:r>
      <w:proofErr w:type="gramStart"/>
      <w:r>
        <w:t>are in need of</w:t>
      </w:r>
      <w:proofErr w:type="gramEnd"/>
      <w:r>
        <w:t xml:space="preserve"> attention given the urgent context of settler colonialism. / 11 </w:t>
      </w:r>
      <w:r>
        <w:rPr>
          <w:b/>
        </w:rPr>
        <w:t>Bacterial colonies</w:t>
      </w:r>
      <w:r>
        <w:t xml:space="preserve"> effectively absorb, assimilate, and transform their environment such that they “make and remake places and are also simultaneously transformed by them” (Veracini 2014, 624). In short, such colonies adapt to a new environment, rapidly reproduce and expand, and finally stabilize as a new and unique entity. </w:t>
      </w:r>
      <w:r>
        <w:rPr>
          <w:b/>
        </w:rPr>
        <w:t xml:space="preserve">A settler colony parallels bacteria </w:t>
      </w:r>
      <w:r>
        <w:t xml:space="preserve">in that its vitality relies on the mutual transformations of the colonizing “body” and the space of colonization, even as the indigenous population may not strategically figure into those transformational processes. / 14 “Spatial co-habitation by Indigenous and settler populations” Brad Coombes and colleagues note, “entails confrontation of divergent notions of place construction, along with other dis- orderly ontological categories which underpin epistemological and teleological classifications” (Coombes et al. 2011, 486). / 15 Native </w:t>
      </w:r>
      <w:proofErr w:type="gramStart"/>
      <w:r>
        <w:t>space</w:t>
      </w:r>
      <w:proofErr w:type="gramEnd"/>
      <w:r>
        <w:t xml:space="preserve"> must be constantly recognized and made viable through daily practices. In this way, my approach further illustrates the everyday spatial work being done through what Mark Rifkin has nicely delineated as “settler common sense,” as well as frames the impact of practicing embodied rather than just legal or political forms of indigenous sovereignty (Bruyneel 2007; Coulthard 2014; Lyons 2010; Rifkin 2014; Warrior 1995). / 150 </w:t>
      </w:r>
      <w:r>
        <w:rPr>
          <w:b/>
        </w:rPr>
        <w:t>Standing Rock</w:t>
      </w:r>
      <w:r>
        <w:t xml:space="preserve"> … The name </w:t>
      </w:r>
      <w:r>
        <w:rPr>
          <w:b/>
        </w:rPr>
        <w:t>Water Protectors</w:t>
      </w:r>
      <w:r>
        <w:t xml:space="preserve"> signaled an ontological position that required consideration of a nonhuman world and reflected a cultural framework organizing the relationship between humans and water. / 151 [@Ling] So, I am now left with more questions about how indigenous space operates and its potential implications. One question posed to me by a colleague that </w:t>
      </w:r>
      <w:r>
        <w:rPr>
          <w:b/>
        </w:rPr>
        <w:t>I still cannot address is the relationship between indigenous language use and indigenous spatiality</w:t>
      </w:r>
      <w:r>
        <w:t xml:space="preserve">. In brief, is fluency in an indigenous language necessary for a truly indigenous geography to emerge, for a truly indigenous spatiality to be practiced? … </w:t>
      </w:r>
      <w:r>
        <w:rPr>
          <w:b/>
        </w:rPr>
        <w:t xml:space="preserve">I cannot dismiss the way indigenous languages form the foundation of indigenous </w:t>
      </w:r>
      <w:proofErr w:type="spellStart"/>
      <w:r>
        <w:rPr>
          <w:b/>
        </w:rPr>
        <w:t>spatialities</w:t>
      </w:r>
      <w:proofErr w:type="spellEnd"/>
      <w:r>
        <w:t xml:space="preserve">. … I have also been struck by the recent work outlining how </w:t>
      </w:r>
      <w:r>
        <w:rPr>
          <w:b/>
        </w:rPr>
        <w:t xml:space="preserve">indigenous mapping </w:t>
      </w:r>
      <w:r>
        <w:t>is inherently enfolded into the epistemologies and structures of modernity.</w:t>
      </w:r>
    </w:p>
    <w:p w14:paraId="13573B92" w14:textId="77777777" w:rsidR="00076776" w:rsidRDefault="00076776"/>
    <w:p w14:paraId="14950A90" w14:textId="77777777" w:rsidR="00076776" w:rsidRDefault="00000000">
      <w:pPr>
        <w:pStyle w:val="Heading2"/>
      </w:pPr>
      <w:r>
        <w:lastRenderedPageBreak/>
        <w:t>Notes</w:t>
      </w:r>
    </w:p>
    <w:p w14:paraId="34C2E478" w14:textId="77777777" w:rsidR="00076776" w:rsidRDefault="00000000">
      <w:pPr>
        <w:rPr>
          <w:highlight w:val="green"/>
        </w:rPr>
      </w:pPr>
      <w:r>
        <w:rPr>
          <w:highlight w:val="green"/>
        </w:rPr>
        <w:t>@Diss@FFessay@Motherlode!</w:t>
      </w:r>
    </w:p>
    <w:p w14:paraId="33C3A53D" w14:textId="77777777" w:rsidR="00076776" w:rsidRDefault="00000000">
      <w:r>
        <w:t xml:space="preserve">From the Afterword, pp. 149-52, Barnd offers some possible research questions for me to consider through a toponymic lens: </w:t>
      </w:r>
    </w:p>
    <w:p w14:paraId="73A6E03C" w14:textId="77777777" w:rsidR="00076776" w:rsidRDefault="00076776"/>
    <w:p w14:paraId="63F55E26" w14:textId="77777777" w:rsidR="00076776" w:rsidRDefault="00000000">
      <w:pPr>
        <w:ind w:left="720"/>
      </w:pPr>
      <w:r>
        <w:t xml:space="preserve">151 I am now left with more questions about how indigenous space operates and its potential implications. One question posed to me by a colleague that I still cannot address is the relationship </w:t>
      </w:r>
      <w:r>
        <w:rPr>
          <w:b/>
        </w:rPr>
        <w:t>between indigenous language</w:t>
      </w:r>
      <w:r>
        <w:t xml:space="preserve"> </w:t>
      </w:r>
      <w:r>
        <w:rPr>
          <w:b/>
        </w:rPr>
        <w:t>use and indigenous spatiality. In brief, is fluency in an indigenous language necessary for a truly indigenous geography to emerge, for a truly indigenous spatiality to be practiced?</w:t>
      </w:r>
      <w:r>
        <w:t xml:space="preserve"> … I cannot dismiss the way indigenous languages form the foundation of indigenous </w:t>
      </w:r>
      <w:proofErr w:type="spellStart"/>
      <w:r>
        <w:t>spatialities</w:t>
      </w:r>
      <w:proofErr w:type="spellEnd"/>
      <w:r>
        <w:t xml:space="preserve">. … More generally I wonder about other mundane practices of spatiality, particularly indigenous spatiality, that need attention. …  I have also been struck by the recent work outlining how indigenous mapping is inherently enfolded into the epistemologies and structures of modernity. … </w:t>
      </w:r>
    </w:p>
    <w:p w14:paraId="5729B77D" w14:textId="77777777" w:rsidR="00076776" w:rsidRDefault="00076776"/>
    <w:p w14:paraId="76710E86" w14:textId="77777777" w:rsidR="00076776" w:rsidRDefault="00000000">
      <w:proofErr w:type="gramStart"/>
      <w:r>
        <w:t>And,</w:t>
      </w:r>
      <w:proofErr w:type="gramEnd"/>
      <w:r>
        <w:t xml:space="preserve"> the big one: </w:t>
      </w:r>
    </w:p>
    <w:p w14:paraId="6A471BE5" w14:textId="77777777" w:rsidR="00076776" w:rsidRDefault="00000000">
      <w:pPr>
        <w:ind w:left="720"/>
        <w:rPr>
          <w:rFonts w:ascii="Times" w:eastAsia="Times" w:hAnsi="Times" w:cs="Times"/>
          <w:color w:val="141413"/>
          <w:sz w:val="22"/>
          <w:szCs w:val="22"/>
          <w:highlight w:val="red"/>
        </w:rPr>
      </w:pPr>
      <w:r>
        <w:rPr>
          <w:rFonts w:ascii="Times" w:eastAsia="Times" w:hAnsi="Times" w:cs="Times"/>
          <w:color w:val="141413"/>
          <w:sz w:val="22"/>
          <w:szCs w:val="22"/>
          <w:highlight w:val="red"/>
        </w:rPr>
        <w:t xml:space="preserve">Can we rescript and empower new </w:t>
      </w:r>
      <w:proofErr w:type="spellStart"/>
      <w:r>
        <w:rPr>
          <w:rFonts w:ascii="Times" w:eastAsia="Times" w:hAnsi="Times" w:cs="Times"/>
          <w:color w:val="141413"/>
          <w:sz w:val="22"/>
          <w:szCs w:val="22"/>
          <w:highlight w:val="red"/>
        </w:rPr>
        <w:t>spatialities</w:t>
      </w:r>
      <w:proofErr w:type="spellEnd"/>
      <w:r>
        <w:rPr>
          <w:rFonts w:ascii="Times" w:eastAsia="Times" w:hAnsi="Times" w:cs="Times"/>
          <w:color w:val="141413"/>
          <w:sz w:val="22"/>
          <w:szCs w:val="22"/>
          <w:highlight w:val="red"/>
        </w:rPr>
        <w:t xml:space="preserve"> that are not founded on and dependent on conquest?</w:t>
      </w:r>
    </w:p>
    <w:p w14:paraId="45060BB7" w14:textId="77777777" w:rsidR="00076776" w:rsidRDefault="00000000">
      <w:pPr>
        <w:rPr>
          <w:rFonts w:ascii="Times" w:eastAsia="Times" w:hAnsi="Times" w:cs="Times"/>
          <w:color w:val="141413"/>
          <w:sz w:val="22"/>
          <w:szCs w:val="22"/>
        </w:rPr>
      </w:pPr>
      <w:r>
        <w:rPr>
          <w:rFonts w:ascii="Times" w:eastAsia="Times" w:hAnsi="Times" w:cs="Times"/>
          <w:color w:val="141413"/>
          <w:sz w:val="22"/>
          <w:szCs w:val="22"/>
        </w:rPr>
        <w:t xml:space="preserve">The above question could be the basis of an entire chapter/paper. </w:t>
      </w:r>
    </w:p>
    <w:p w14:paraId="13FC380F" w14:textId="77777777" w:rsidR="00076776" w:rsidRDefault="00076776">
      <w:pPr>
        <w:rPr>
          <w:rFonts w:ascii="Times" w:eastAsia="Times" w:hAnsi="Times" w:cs="Times"/>
          <w:color w:val="141413"/>
          <w:sz w:val="22"/>
          <w:szCs w:val="22"/>
        </w:rPr>
      </w:pPr>
    </w:p>
    <w:p w14:paraId="4DFF635A" w14:textId="77777777" w:rsidR="00076776" w:rsidRDefault="00000000">
      <w:pPr>
        <w:rPr>
          <w:rFonts w:ascii="Times" w:eastAsia="Times" w:hAnsi="Times" w:cs="Times"/>
          <w:color w:val="141413"/>
          <w:sz w:val="22"/>
          <w:szCs w:val="22"/>
          <w:highlight w:val="green"/>
        </w:rPr>
      </w:pPr>
      <w:r>
        <w:rPr>
          <w:rFonts w:ascii="Times" w:eastAsia="Times" w:hAnsi="Times" w:cs="Times"/>
          <w:color w:val="141413"/>
          <w:sz w:val="22"/>
          <w:szCs w:val="22"/>
          <w:highlight w:val="green"/>
        </w:rPr>
        <w:t>16 @Knote@Diss@FFessay</w:t>
      </w:r>
    </w:p>
    <w:p w14:paraId="59934D9C" w14:textId="77777777" w:rsidR="00076776" w:rsidRDefault="00000000">
      <w:r>
        <w:t xml:space="preserve">Note that </w:t>
      </w:r>
      <w:r>
        <w:rPr>
          <w:b/>
        </w:rPr>
        <w:t>chapter 1</w:t>
      </w:r>
      <w:r>
        <w:t xml:space="preserve"> speaks to reclamation practices:</w:t>
      </w:r>
    </w:p>
    <w:p w14:paraId="03153251" w14:textId="77777777" w:rsidR="00076776" w:rsidRDefault="00000000">
      <w:pPr>
        <w:ind w:left="720"/>
      </w:pPr>
      <w:r>
        <w:t>… chapter 1 discusses several reservation communities where tribal peoples use indigeneity in the material construction of spatial markers.</w:t>
      </w:r>
    </w:p>
    <w:p w14:paraId="5F37FC54" w14:textId="77777777" w:rsidR="00076776" w:rsidRDefault="00000000">
      <w:r>
        <w:t xml:space="preserve">Note that </w:t>
      </w:r>
      <w:r>
        <w:rPr>
          <w:b/>
        </w:rPr>
        <w:t xml:space="preserve">chapter 2 </w:t>
      </w:r>
      <w:r>
        <w:t xml:space="preserve">speaks to street names: </w:t>
      </w:r>
    </w:p>
    <w:p w14:paraId="01D8177C" w14:textId="77777777" w:rsidR="00076776" w:rsidRDefault="00000000">
      <w:pPr>
        <w:ind w:left="720"/>
      </w:pPr>
      <w:r>
        <w:t>The second chapter picks up where this introduction leaves off discussing Indian Villages. It documents and analyzes the use of Indianness for crafting White space. Using cartographic and demographic data, I document the twentieth-century proliferation of Indian-themed street names across residential areas in cities, suburbs, and rural towns of every region in the country.</w:t>
      </w:r>
    </w:p>
    <w:p w14:paraId="5A09A8EB" w14:textId="77777777" w:rsidR="00076776" w:rsidRDefault="00076776"/>
    <w:p w14:paraId="3FA2140B" w14:textId="77777777" w:rsidR="00076776" w:rsidRDefault="00000000">
      <w:pPr>
        <w:pStyle w:val="Heading1"/>
      </w:pPr>
      <w:bookmarkStart w:id="15" w:name="_heading=h.35nkun2" w:colFirst="0" w:colLast="0"/>
      <w:bookmarkEnd w:id="15"/>
      <w:r>
        <w:t>(2017) Davis, et. al., “Complicated pathways: settler Canadians learning to re/frame themselves and their relationships with Indigenous peoples”</w:t>
      </w:r>
    </w:p>
    <w:p w14:paraId="47E7BE37"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2079241E" w14:textId="77777777" w:rsidR="00076776" w:rsidRDefault="00000000">
      <w:pPr>
        <w:pStyle w:val="Heading2"/>
      </w:pPr>
      <w:r>
        <w:t>Abstract</w:t>
      </w:r>
    </w:p>
    <w:p w14:paraId="626B4819"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 xml:space="preserve">A précis on contemporary manifestations of settler colonialism. </w:t>
      </w:r>
    </w:p>
    <w:p w14:paraId="48B9BF92"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18F731BD" w14:textId="77777777" w:rsidR="00076776" w:rsidRDefault="00000000">
      <w:pPr>
        <w:pStyle w:val="Heading2"/>
      </w:pPr>
      <w:r>
        <w:t>Key words</w:t>
      </w:r>
    </w:p>
    <w:p w14:paraId="5E3BD023"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Settler colonialism; settler consciousness; reconciliation; critical education; anti-oppressive education</w:t>
      </w:r>
    </w:p>
    <w:p w14:paraId="37ACBC90"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78CA9EBA" w14:textId="77777777" w:rsidR="00076776" w:rsidRDefault="00000000">
      <w:pPr>
        <w:pStyle w:val="Heading2"/>
      </w:pPr>
      <w:r>
        <w:t>Essential quote</w:t>
      </w:r>
    </w:p>
    <w:p w14:paraId="10382B2D"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1: We conclude that many initiatives are focused on changing awareness or consciousness and may not go further to name contemporary manifestations of settler colonialism where settler Canadians are positioned as its beneficiaries.</w:t>
      </w:r>
    </w:p>
    <w:p w14:paraId="55DD1C83"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1E9BAC27" w14:textId="77777777" w:rsidR="00076776" w:rsidRDefault="00000000">
      <w:pPr>
        <w:pStyle w:val="Heading2"/>
      </w:pPr>
      <w:r>
        <w:t>Terms</w:t>
      </w:r>
    </w:p>
    <w:p w14:paraId="5528107C"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2: </w:t>
      </w:r>
      <w:r>
        <w:rPr>
          <w:b/>
          <w:color w:val="000000"/>
        </w:rPr>
        <w:t>restitution</w:t>
      </w:r>
      <w:r>
        <w:rPr>
          <w:color w:val="000000"/>
        </w:rPr>
        <w:t xml:space="preserve">: Taiaiake Alfred’s replacement term for “reconciliation:” “The discourse of ‘reconciliation’ has become widespread in Canadian society in the last decade and has gained considerable momentum with the interim and final reports of the TRC. ‘Reconciliation’ has been extensively critiqued by Indigenous scholars and allies who have dismissed the term as a romantic attempt to smooth over Indigenous–settler relationships while leaving the status quo untouched….” </w:t>
      </w:r>
    </w:p>
    <w:p w14:paraId="7D0D4759"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2: </w:t>
      </w:r>
      <w:r>
        <w:rPr>
          <w:b/>
          <w:color w:val="000000"/>
        </w:rPr>
        <w:t>colonial mentality</w:t>
      </w:r>
      <w:r>
        <w:rPr>
          <w:color w:val="000000"/>
        </w:rPr>
        <w:t>: “… the saturation of consciousness by hegemonic narratives of the colonial or settler colonial state.</w:t>
      </w:r>
    </w:p>
    <w:p w14:paraId="01772D87"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3: </w:t>
      </w:r>
      <w:r>
        <w:rPr>
          <w:b/>
          <w:color w:val="000000"/>
        </w:rPr>
        <w:t>white fragility</w:t>
      </w:r>
      <w:r>
        <w:rPr>
          <w:color w:val="000000"/>
        </w:rPr>
        <w:t>: “… a sense of entitlement to racial comfort.</w:t>
      </w:r>
      <w:r>
        <w:rPr>
          <w:color w:val="000000"/>
          <w:vertAlign w:val="superscript"/>
        </w:rPr>
        <w:t>13</w:t>
      </w:r>
      <w:r>
        <w:rPr>
          <w:color w:val="000000"/>
        </w:rPr>
        <w:t>”</w:t>
      </w:r>
    </w:p>
    <w:p w14:paraId="541A41D3"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highlight w:val="green"/>
        </w:rPr>
        <w:t>3&amp;4</w:t>
      </w:r>
      <w:r>
        <w:rPr>
          <w:color w:val="000000"/>
        </w:rPr>
        <w:t xml:space="preserve">: </w:t>
      </w:r>
      <w:r>
        <w:rPr>
          <w:b/>
          <w:color w:val="000000"/>
        </w:rPr>
        <w:t>settler consciousness</w:t>
      </w:r>
      <w:r>
        <w:rPr>
          <w:color w:val="000000"/>
        </w:rPr>
        <w:t xml:space="preserve"> </w:t>
      </w:r>
      <w:r>
        <w:rPr>
          <w:b/>
          <w:color w:val="000000"/>
        </w:rPr>
        <w:t>&amp; transformation of settler consciousness</w:t>
      </w:r>
      <w:r>
        <w:rPr>
          <w:color w:val="000000"/>
        </w:rPr>
        <w:t xml:space="preserve">: “Our working definition is grounded in the writings of many Indigenous and non-Indigenous scholars, including Patrick Wolfe, Paulette Regan and Susan Dion … a continuing structure in which all contemporary institutions are based, as opposed to an event beginning and ending in the past. … </w:t>
      </w:r>
      <w:r>
        <w:rPr>
          <w:b/>
          <w:color w:val="000000"/>
        </w:rPr>
        <w:t>the narratives, practices and collective Canadian identity that are based solidly in a foundation of national historical myths</w:t>
      </w:r>
      <w:r>
        <w:rPr>
          <w:color w:val="000000"/>
        </w:rPr>
        <w:t xml:space="preserve">. </w:t>
      </w:r>
      <w:r>
        <w:rPr>
          <w:color w:val="000000"/>
          <w:vertAlign w:val="superscript"/>
        </w:rPr>
        <w:t>19</w:t>
      </w:r>
    </w:p>
    <w:p w14:paraId="0E5C14D2" w14:textId="77777777" w:rsidR="00076776" w:rsidRDefault="00000000">
      <w:r>
        <w:t xml:space="preserve">5: </w:t>
      </w:r>
      <w:r>
        <w:rPr>
          <w:b/>
        </w:rPr>
        <w:t>decolonization</w:t>
      </w:r>
      <w:r>
        <w:t xml:space="preserve">: from Regan’s POV: “critical self-reflection must be paired with action or else </w:t>
      </w:r>
      <w:proofErr w:type="gramStart"/>
      <w:r>
        <w:t>settlers</w:t>
      </w:r>
      <w:proofErr w:type="gramEnd"/>
      <w:r>
        <w:t xml:space="preserve"> risk never moving beyond guilt and shame, and settler consciousness and all it entails will continue to be perpetuated. … an uncomfortable but necessary first step in a lifelong and urgent journey of dismantling colonial systems and structures.”</w:t>
      </w:r>
    </w:p>
    <w:p w14:paraId="7D978112" w14:textId="77777777" w:rsidR="00076776" w:rsidRDefault="00000000">
      <w:r>
        <w:t xml:space="preserve">13: </w:t>
      </w:r>
      <w:r>
        <w:rPr>
          <w:b/>
        </w:rPr>
        <w:t>willful blindness</w:t>
      </w:r>
      <w:r>
        <w:t xml:space="preserve">: “Although writing in a non-Indigenous context, </w:t>
      </w:r>
      <w:r>
        <w:rPr>
          <w:highlight w:val="magenta"/>
        </w:rPr>
        <w:t>Margaret Heffernan</w:t>
      </w:r>
      <w:r>
        <w:t xml:space="preserve">’s work on ‘wilful blindness’ is instructive in understanding the ways in which one turns away from truths that are before our </w:t>
      </w:r>
      <w:proofErr w:type="gramStart"/>
      <w:r>
        <w:t>eyes</w:t>
      </w:r>
      <w:proofErr w:type="gramEnd"/>
      <w:r>
        <w:t xml:space="preserve"> but which are unsettling or disturbing. [see Margaret Heffernan, </w:t>
      </w:r>
      <w:r>
        <w:rPr>
          <w:i/>
        </w:rPr>
        <w:t>Wilful Blindness</w:t>
      </w:r>
      <w:r>
        <w:t xml:space="preserve"> (Toronto: Doubleday Canada, 2011)] </w:t>
      </w:r>
    </w:p>
    <w:p w14:paraId="383F8600" w14:textId="77777777" w:rsidR="00076776" w:rsidRDefault="00000000">
      <w:r>
        <w:t xml:space="preserve">13: </w:t>
      </w:r>
      <w:r>
        <w:rPr>
          <w:b/>
        </w:rPr>
        <w:t>pedagogy of discomfort</w:t>
      </w:r>
      <w:r>
        <w:t xml:space="preserve">: “… </w:t>
      </w:r>
      <w:proofErr w:type="spellStart"/>
      <w:r>
        <w:t>pedagoligical</w:t>
      </w:r>
      <w:proofErr w:type="spellEnd"/>
      <w:r>
        <w:t xml:space="preserve"> process and the discomfort of learning, following Megan Boler and </w:t>
      </w:r>
      <w:proofErr w:type="spellStart"/>
      <w:r>
        <w:t>Michalinos</w:t>
      </w:r>
      <w:proofErr w:type="spellEnd"/>
      <w:r>
        <w:t xml:space="preserve"> Zembylas’ work on a ‘pedagogy of discomfort’</w:t>
      </w:r>
      <w:r>
        <w:rPr>
          <w:vertAlign w:val="superscript"/>
        </w:rPr>
        <w:t xml:space="preserve">40 </w:t>
      </w:r>
      <w:r>
        <w:t xml:space="preserve">[from Regan, </w:t>
      </w:r>
      <w:r>
        <w:rPr>
          <w:i/>
        </w:rPr>
        <w:t>Unsettling the Settler Within</w:t>
      </w:r>
      <w:r>
        <w:t xml:space="preserve">; </w:t>
      </w:r>
      <w:proofErr w:type="spellStart"/>
      <w:r>
        <w:t>Bolerand</w:t>
      </w:r>
      <w:proofErr w:type="spellEnd"/>
      <w:r>
        <w:t xml:space="preserve"> </w:t>
      </w:r>
      <w:proofErr w:type="spellStart"/>
      <w:r>
        <w:t>Zembylas</w:t>
      </w:r>
      <w:proofErr w:type="spellEnd"/>
      <w:r>
        <w:t>,’DiscomfortingTruths’]</w:t>
      </w:r>
    </w:p>
    <w:p w14:paraId="78048E94"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61DEC923" w14:textId="77777777" w:rsidR="00076776" w:rsidRDefault="00000000">
      <w:pPr>
        <w:pStyle w:val="Heading2"/>
      </w:pPr>
      <w:r>
        <w:t>Core quotes</w:t>
      </w:r>
    </w:p>
    <w:p w14:paraId="3AD729D8"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6B6D0D0C"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2 @NeoCol@Acad</w:t>
      </w:r>
    </w:p>
    <w:p w14:paraId="519A6D6F"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pPr>
      <w:r>
        <w:rPr>
          <w:color w:val="000000"/>
        </w:rPr>
        <w:t>What decades of academic analysis reveal is that providing education and information to settler Canadians is not sufficient to shift the relationship between Indigenous peoples and settler colonial society.</w:t>
      </w:r>
      <w:r>
        <w:rPr>
          <w:color w:val="000000"/>
          <w:vertAlign w:val="superscript"/>
        </w:rPr>
        <w:t>9</w:t>
      </w:r>
    </w:p>
    <w:p w14:paraId="2C6520B4" w14:textId="77777777" w:rsidR="00076776" w:rsidRDefault="00076776"/>
    <w:p w14:paraId="3EA46A04" w14:textId="77777777" w:rsidR="00076776" w:rsidRDefault="00000000">
      <w:r>
        <w:t>5 @SettPsych@Decol@Acad@</w:t>
      </w:r>
      <w:proofErr w:type="gramStart"/>
      <w:r>
        <w:t>L?@</w:t>
      </w:r>
      <w:proofErr w:type="gramEnd"/>
      <w:r>
        <w:t>IK@Narr@Pow@Hegem</w:t>
      </w:r>
    </w:p>
    <w:p w14:paraId="4483E003" w14:textId="77777777" w:rsidR="00076776" w:rsidRDefault="00000000">
      <w:pPr>
        <w:ind w:left="360"/>
      </w:pPr>
      <w:r>
        <w:t>Our</w:t>
      </w:r>
      <w:r>
        <w:rPr>
          <w:b/>
        </w:rPr>
        <w:t xml:space="preserve"> current understanding of transforming settler consciousness is:</w:t>
      </w:r>
    </w:p>
    <w:p w14:paraId="1235B4A6" w14:textId="77777777" w:rsidR="00076776" w:rsidRDefault="00000000">
      <w:pPr>
        <w:numPr>
          <w:ilvl w:val="0"/>
          <w:numId w:val="2"/>
        </w:numPr>
        <w:pBdr>
          <w:top w:val="nil"/>
          <w:left w:val="nil"/>
          <w:bottom w:val="nil"/>
          <w:right w:val="nil"/>
          <w:between w:val="nil"/>
        </w:pBdr>
        <w:ind w:left="1080"/>
        <w:rPr>
          <w:color w:val="000000"/>
        </w:rPr>
      </w:pPr>
      <w:r>
        <w:rPr>
          <w:color w:val="000000"/>
        </w:rPr>
        <w:t>Creating narratives, processes and practices that hold settlers accountable to their responsibilities as beneficiaries of colonization, both historic and ongoing.</w:t>
      </w:r>
    </w:p>
    <w:p w14:paraId="31600AD0" w14:textId="77777777" w:rsidR="00076776" w:rsidRDefault="00000000">
      <w:pPr>
        <w:numPr>
          <w:ilvl w:val="0"/>
          <w:numId w:val="2"/>
        </w:numPr>
        <w:pBdr>
          <w:top w:val="nil"/>
          <w:left w:val="nil"/>
          <w:bottom w:val="nil"/>
          <w:right w:val="nil"/>
          <w:between w:val="nil"/>
        </w:pBdr>
        <w:ind w:left="1080"/>
        <w:rPr>
          <w:color w:val="000000"/>
        </w:rPr>
      </w:pPr>
      <w:r>
        <w:rPr>
          <w:color w:val="000000"/>
        </w:rPr>
        <w:lastRenderedPageBreak/>
        <w:t xml:space="preserve">Naming and upsetting the </w:t>
      </w:r>
      <w:proofErr w:type="gramStart"/>
      <w:r>
        <w:rPr>
          <w:color w:val="000000"/>
        </w:rPr>
        <w:t>status quo, and</w:t>
      </w:r>
      <w:proofErr w:type="gramEnd"/>
      <w:r>
        <w:rPr>
          <w:color w:val="000000"/>
        </w:rPr>
        <w:t xml:space="preserve"> challenging the power dynamics that perpetuate settler colonialism.</w:t>
      </w:r>
    </w:p>
    <w:p w14:paraId="4C8BA47B" w14:textId="77777777" w:rsidR="00076776" w:rsidRDefault="00000000">
      <w:pPr>
        <w:numPr>
          <w:ilvl w:val="0"/>
          <w:numId w:val="2"/>
        </w:numPr>
        <w:pBdr>
          <w:top w:val="nil"/>
          <w:left w:val="nil"/>
          <w:bottom w:val="nil"/>
          <w:right w:val="nil"/>
          <w:between w:val="nil"/>
        </w:pBdr>
        <w:ind w:left="1080"/>
        <w:rPr>
          <w:color w:val="000000"/>
        </w:rPr>
      </w:pPr>
      <w:r>
        <w:rPr>
          <w:color w:val="000000"/>
        </w:rPr>
        <w:t>Building just and decolonized relationships with Indigenous peoples, the land, and all beings.</w:t>
      </w:r>
    </w:p>
    <w:p w14:paraId="2431D123" w14:textId="77777777" w:rsidR="00076776" w:rsidRDefault="00000000">
      <w:pPr>
        <w:numPr>
          <w:ilvl w:val="0"/>
          <w:numId w:val="2"/>
        </w:numPr>
        <w:pBdr>
          <w:top w:val="nil"/>
          <w:left w:val="nil"/>
          <w:bottom w:val="nil"/>
          <w:right w:val="nil"/>
          <w:between w:val="nil"/>
        </w:pBdr>
        <w:ind w:left="1080"/>
        <w:rPr>
          <w:color w:val="000000"/>
        </w:rPr>
      </w:pPr>
      <w:r>
        <w:rPr>
          <w:color w:val="000000"/>
        </w:rPr>
        <w:t>Engaging in an ongoing, complex and dynamic process grounded in a lifetime commitment, which occurs at the level of the individual, family, community and nation.</w:t>
      </w:r>
    </w:p>
    <w:p w14:paraId="2630E603"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3CF4C0B4"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9 @NeoCol@NeoLib@Epistem@Acad</w:t>
      </w:r>
    </w:p>
    <w:p w14:paraId="14919B66"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 xml:space="preserve">On the connection between lack of clear language and lack of concrete action: </w:t>
      </w:r>
    </w:p>
    <w:p w14:paraId="31036203"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color w:val="000000"/>
        </w:rPr>
      </w:pPr>
      <w:r>
        <w:rPr>
          <w:color w:val="000000"/>
        </w:rPr>
        <w:t xml:space="preserve">“… liberal discourses based in notions of equality and social justice persist. While this framing may draw many people toward an issue or encourage participation in an event, it does not position non-Indigenous Canadians as beneficiaries of colonization; nor does it imply specific responsibilities and commitments on the part of non-Indigenous Canadians to challenge or undo current colonizing practices or structures. [10] While it is not the responsibility of Indigenous peoples to educate settlers, consultation and engagement with Indigenous peoples remains crucial. Moving forward with actions based on well-meaning </w:t>
      </w:r>
      <w:proofErr w:type="gramStart"/>
      <w:r>
        <w:rPr>
          <w:color w:val="000000"/>
        </w:rPr>
        <w:t>assumptions, or</w:t>
      </w:r>
      <w:proofErr w:type="gramEnd"/>
      <w:r>
        <w:rPr>
          <w:color w:val="000000"/>
        </w:rPr>
        <w:t xml:space="preserve"> speaking on behalf of Indigenous peoples is extremely problematic.</w:t>
      </w:r>
    </w:p>
    <w:p w14:paraId="69D3CB47"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7D2A59DA"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11 @Contracolonial@Acad@NeoCol@Hegem</w:t>
      </w:r>
    </w:p>
    <w:p w14:paraId="5CC5F216"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color w:val="000000"/>
        </w:rPr>
      </w:pPr>
      <w:r>
        <w:rPr>
          <w:color w:val="000000"/>
        </w:rPr>
        <w:t>Very few of the initiatives [on Davis’s list of 200] address questions of land reclamation, reparations, Indigenous sovereignty and jurisdiction, or Canadian sovereignty on stolen Indigenous lands, a finding echoed in the research of Denis and Bailey with self-identified allies involved in reconciliation processes. The majority focused on liberal goals of ‘raising awareness’ or imparting information, positioning settlers as consumers of information, and establishing awareness raising as the end game. Initiatives like these do not address identity or privilege, nor do they confront settler positionalities or hold settlers accountable.</w:t>
      </w:r>
    </w:p>
    <w:p w14:paraId="30E5136E"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5F2729D7"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w:t>
      </w:r>
      <w:proofErr w:type="gramStart"/>
      <w:r>
        <w:rPr>
          <w:color w:val="000000"/>
        </w:rPr>
        <w:t>Link:</w:t>
      </w:r>
      <w:r>
        <w:rPr>
          <w:color w:val="000000"/>
          <w:highlight w:val="magenta"/>
        </w:rPr>
        <w:t>Tuck</w:t>
      </w:r>
      <w:proofErr w:type="gramEnd"/>
      <w:r>
        <w:rPr>
          <w:color w:val="000000"/>
          <w:highlight w:val="magenta"/>
        </w:rPr>
        <w:t>&amp;Yang</w:t>
      </w:r>
      <w:r>
        <w:rPr>
          <w:color w:val="000000"/>
        </w:rPr>
        <w:t>@NeoCol</w:t>
      </w:r>
    </w:p>
    <w:p w14:paraId="7C7D16DC"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color w:val="000000"/>
        </w:rPr>
      </w:pPr>
      <w:r>
        <w:rPr>
          <w:color w:val="000000"/>
        </w:rPr>
        <w:t>Our concern is that initiatives posing no challenge to settler positionality become just</w:t>
      </w:r>
    </w:p>
    <w:p w14:paraId="65E2FC7E"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color w:val="000000"/>
        </w:rPr>
      </w:pPr>
      <w:r>
        <w:rPr>
          <w:color w:val="000000"/>
        </w:rPr>
        <w:t>one more way for settlers to move to innocence, achieving redemption through the act of listening. … [12] Most importantly, we question how to foster movement toward the next stage of thought and action in the transformation process, in which the realities of settler colonialism and consciousness are understood plainly, and the land and Indigenous sovereignty are central to discussions of reconciliation.</w:t>
      </w:r>
    </w:p>
    <w:p w14:paraId="4FFD504E"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43FE94B5"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12 @Para@NeoCol@Narr@SettPsych@FFessay@DECOL</w:t>
      </w:r>
    </w:p>
    <w:p w14:paraId="189BAB77"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roofErr w:type="spellStart"/>
      <w:r>
        <w:rPr>
          <w:color w:val="000000"/>
        </w:rPr>
        <w:t>R.e</w:t>
      </w:r>
      <w:proofErr w:type="spellEnd"/>
      <w:r>
        <w:rPr>
          <w:color w:val="000000"/>
        </w:rPr>
        <w:t>., What constitutes a challenge to settler colonial positionality?</w:t>
      </w:r>
    </w:p>
    <w:p w14:paraId="270DA130"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50ED87AD"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pPr>
      <w:proofErr w:type="gramStart"/>
      <w:r>
        <w:rPr>
          <w:b/>
          <w:color w:val="000000"/>
        </w:rPr>
        <w:t>In particular, we</w:t>
      </w:r>
      <w:proofErr w:type="gramEnd"/>
      <w:r>
        <w:rPr>
          <w:b/>
          <w:color w:val="000000"/>
        </w:rPr>
        <w:t xml:space="preserve"> were left questioning whether the centering of Indigenous perspectives and leadership, and the related decentering of settler narratives, is </w:t>
      </w:r>
      <w:proofErr w:type="gramStart"/>
      <w:r>
        <w:rPr>
          <w:b/>
          <w:color w:val="000000"/>
        </w:rPr>
        <w:t>in itself unsettling</w:t>
      </w:r>
      <w:proofErr w:type="gramEnd"/>
      <w:r>
        <w:rPr>
          <w:b/>
          <w:color w:val="000000"/>
        </w:rPr>
        <w:t xml:space="preserve"> or transformational.</w:t>
      </w:r>
      <w:r>
        <w:rPr>
          <w:color w:val="000000"/>
        </w:rPr>
        <w:t xml:space="preserve"> If these processes of centering and decentring are two necessary pieces of the same transformational puzzle, how do we get to the stage where settlers are both engaging with and centering Indigenous knowledge and narratives (learning) while simultaneously deconstructing settler identities (unlearning), and actively </w:t>
      </w:r>
      <w:r>
        <w:rPr>
          <w:color w:val="000000"/>
        </w:rPr>
        <w:lastRenderedPageBreak/>
        <w:t>challenging settler colonial practices of Indigenous displacement and settler encroachment?</w:t>
      </w:r>
      <w:r>
        <w:rPr>
          <w:color w:val="000000"/>
          <w:vertAlign w:val="superscript"/>
        </w:rPr>
        <w:t>31</w:t>
      </w:r>
    </w:p>
    <w:p w14:paraId="437ADE80"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highlight w:val="green"/>
        </w:rPr>
      </w:pPr>
    </w:p>
    <w:p w14:paraId="5BB6A87E"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highlight w:val="green"/>
        </w:rPr>
        <w:t>13</w:t>
      </w:r>
      <w:r>
        <w:rPr>
          <w:color w:val="000000"/>
        </w:rPr>
        <w:t xml:space="preserve"> @NeoCol@Decol@Hegem@DECOL@FFessay</w:t>
      </w:r>
    </w:p>
    <w:p w14:paraId="096ADB5E"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The settler colonial literature, particularly </w:t>
      </w:r>
      <w:r>
        <w:rPr>
          <w:color w:val="000000"/>
          <w:highlight w:val="magenta"/>
        </w:rPr>
        <w:t>Veracini, Regan, Tuck and Yang, Wolfe, and Hiller</w:t>
      </w:r>
      <w:r>
        <w:rPr>
          <w:color w:val="000000"/>
        </w:rPr>
        <w:t xml:space="preserve"> all comment on </w:t>
      </w:r>
      <w:r>
        <w:rPr>
          <w:b/>
          <w:color w:val="000000"/>
        </w:rPr>
        <w:t>settler moves to innocence</w:t>
      </w:r>
      <w:r>
        <w:rPr>
          <w:color w:val="000000"/>
        </w:rPr>
        <w:t xml:space="preserve"> and </w:t>
      </w:r>
      <w:r>
        <w:rPr>
          <w:b/>
          <w:color w:val="000000"/>
        </w:rPr>
        <w:t>the potency of settler colonial narratives</w:t>
      </w:r>
      <w:r>
        <w:rPr>
          <w:color w:val="000000"/>
        </w:rPr>
        <w:t xml:space="preserve"> to distract attention away from one’s own implication in the status quo. Indeed, one of the successes of settler-colonialism is its power to ‘naturalize’ settlers to the land while Indigenous peoples. </w:t>
      </w:r>
    </w:p>
    <w:p w14:paraId="636E66B5"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1D672B7C" w14:textId="77777777" w:rsidR="00076776" w:rsidRDefault="00000000">
      <w:pPr>
        <w:pStyle w:val="Heading2"/>
      </w:pPr>
      <w:r>
        <w:t>Secondary quotes</w:t>
      </w:r>
    </w:p>
    <w:p w14:paraId="19FC05F2"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2 “Equality is a comfortable discourse in the Canadian lexicon.” / the ‘</w:t>
      </w:r>
      <w:proofErr w:type="gramStart"/>
      <w:r>
        <w:rPr>
          <w:color w:val="000000"/>
        </w:rPr>
        <w:t>peace-maker</w:t>
      </w:r>
      <w:proofErr w:type="gramEnd"/>
      <w:r>
        <w:rPr>
          <w:color w:val="000000"/>
        </w:rPr>
        <w:t xml:space="preserve">’ myth / It will require a significant re-shaping of settler consciousness and the deep attachments that construct Canadian identities. / 5 “… the dangers that can arise from even the </w:t>
      </w:r>
      <w:proofErr w:type="gramStart"/>
      <w:r>
        <w:rPr>
          <w:color w:val="000000"/>
        </w:rPr>
        <w:t>best intentioned</w:t>
      </w:r>
      <w:proofErr w:type="gramEnd"/>
      <w:r>
        <w:rPr>
          <w:color w:val="000000"/>
        </w:rPr>
        <w:t xml:space="preserve"> deeds when they are not rooted in a critical, </w:t>
      </w:r>
      <w:r>
        <w:rPr>
          <w:b/>
          <w:color w:val="000000"/>
        </w:rPr>
        <w:t>self-reflexive consciousness and understanding of history</w:t>
      </w:r>
      <w:r>
        <w:rPr>
          <w:color w:val="000000"/>
        </w:rPr>
        <w:t xml:space="preserve">, and how instead they can perpetuate and deepen paternalistic colonial relationships, often causing more harm than good.” / See </w:t>
      </w:r>
      <w:proofErr w:type="spellStart"/>
      <w:r>
        <w:rPr>
          <w:color w:val="000000"/>
        </w:rPr>
        <w:t>piechart</w:t>
      </w:r>
      <w:proofErr w:type="spellEnd"/>
      <w:r>
        <w:rPr>
          <w:color w:val="000000"/>
        </w:rPr>
        <w:t xml:space="preserve"> of their results on p 8, of note: “We immediately recognized </w:t>
      </w:r>
      <w:r>
        <w:rPr>
          <w:b/>
          <w:color w:val="000000"/>
        </w:rPr>
        <w:t>how seldom the language and understanding of ‘settler’</w:t>
      </w:r>
      <w:r>
        <w:rPr>
          <w:color w:val="000000"/>
        </w:rPr>
        <w:t xml:space="preserve"> as advanced in settler colonial studies are actually employed…” [p 9]  “… </w:t>
      </w:r>
      <w:r>
        <w:rPr>
          <w:b/>
          <w:color w:val="000000"/>
        </w:rPr>
        <w:t>very few of the initiatives employ the term ‘settler’</w:t>
      </w:r>
      <w:r>
        <w:rPr>
          <w:color w:val="000000"/>
        </w:rPr>
        <w:t xml:space="preserve"> in reference to non-Indigenous Canadians, and many do not explicitly refer to colonization. / </w:t>
      </w:r>
    </w:p>
    <w:p w14:paraId="747CDCD8"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753132B1" w14:textId="77777777" w:rsidR="00076776" w:rsidRDefault="00000000">
      <w:pPr>
        <w:pStyle w:val="Heading2"/>
      </w:pPr>
      <w:r>
        <w:t>Notes</w:t>
      </w:r>
    </w:p>
    <w:p w14:paraId="7B72A39D"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5 @Contracolonial@NeoCol</w:t>
      </w:r>
    </w:p>
    <w:p w14:paraId="77FBACDA"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Re, “decolonization” from Regan’s POV: “critical self-reflection must be paired with action or else </w:t>
      </w:r>
      <w:proofErr w:type="gramStart"/>
      <w:r>
        <w:rPr>
          <w:color w:val="000000"/>
        </w:rPr>
        <w:t>settlers</w:t>
      </w:r>
      <w:proofErr w:type="gramEnd"/>
      <w:r>
        <w:rPr>
          <w:color w:val="000000"/>
        </w:rPr>
        <w:t xml:space="preserve"> risk never moving beyond guilt and shame, and settler consciousness and all it entails will continue to be perpetuated. … [and Davis’s addition] an uncomfortable but necessary first step in a lifelong and urgent journey of dismantling colonial systems and structures.”</w:t>
      </w:r>
    </w:p>
    <w:p w14:paraId="0D2319EA"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16A5DD15" w14:textId="77777777" w:rsidR="00076776" w:rsidRDefault="00000000">
      <w:pPr>
        <w:rPr>
          <w:color w:val="000000"/>
        </w:rPr>
      </w:pPr>
      <w:r>
        <w:rPr>
          <w:color w:val="000000"/>
        </w:rPr>
        <w:t xml:space="preserve">This begs the question as to where we are at in terms of awareness. Do we need more words, really, </w:t>
      </w:r>
      <w:proofErr w:type="gramStart"/>
      <w:r>
        <w:rPr>
          <w:color w:val="000000"/>
        </w:rPr>
        <w:t>in order to</w:t>
      </w:r>
      <w:proofErr w:type="gramEnd"/>
      <w:r>
        <w:rPr>
          <w:color w:val="000000"/>
        </w:rPr>
        <w:t xml:space="preserve"> drive the necessary actions? Has the weight of rhetoric worked? Would as many </w:t>
      </w:r>
      <w:proofErr w:type="gramStart"/>
      <w:r>
        <w:rPr>
          <w:color w:val="000000"/>
        </w:rPr>
        <w:t>allies</w:t>
      </w:r>
      <w:proofErr w:type="gramEnd"/>
      <w:r>
        <w:rPr>
          <w:color w:val="000000"/>
        </w:rPr>
        <w:t xml:space="preserve">, Indigenous and non-Indigenous, have showed up to protest if we did not do the rhetorical seeding?  </w:t>
      </w:r>
    </w:p>
    <w:p w14:paraId="741F3582" w14:textId="77777777" w:rsidR="00076776" w:rsidRDefault="00000000">
      <w:pPr>
        <w:pStyle w:val="Heading1"/>
      </w:pPr>
      <w:bookmarkStart w:id="16" w:name="_heading=h.1ksv4uv" w:colFirst="0" w:colLast="0"/>
      <w:bookmarkEnd w:id="16"/>
      <w:r>
        <w:t xml:space="preserve">*(2017) Duarte, </w:t>
      </w:r>
      <w:r>
        <w:rPr>
          <w:i/>
        </w:rPr>
        <w:t>Network Sovereignty: Building the Internet Across Indian Country</w:t>
      </w:r>
    </w:p>
    <w:p w14:paraId="6C54B5FC" w14:textId="77777777" w:rsidR="00076776" w:rsidRDefault="00076776"/>
    <w:p w14:paraId="08D664D5" w14:textId="77777777" w:rsidR="00076776" w:rsidRDefault="00000000">
      <w:pPr>
        <w:pStyle w:val="Heading2"/>
      </w:pPr>
      <w:r>
        <w:t>Abstract</w:t>
      </w:r>
    </w:p>
    <w:p w14:paraId="23E70297" w14:textId="77777777" w:rsidR="00076776" w:rsidRDefault="00000000">
      <w:r>
        <w:t xml:space="preserve">A survey and history of the unique challenges and considerations for Indigenous-controlled Internet and technology access across North America. </w:t>
      </w:r>
    </w:p>
    <w:p w14:paraId="705B3212" w14:textId="77777777" w:rsidR="00076776" w:rsidRDefault="00076776"/>
    <w:p w14:paraId="759CC6DC" w14:textId="77777777" w:rsidR="00076776" w:rsidRDefault="00000000">
      <w:pPr>
        <w:pStyle w:val="Heading2"/>
      </w:pPr>
      <w:r>
        <w:lastRenderedPageBreak/>
        <w:t>Key words</w:t>
      </w:r>
    </w:p>
    <w:p w14:paraId="1A85DC89" w14:textId="77777777" w:rsidR="00076776" w:rsidRDefault="00000000">
      <w:r>
        <w:t>Indigenous technology, Indigenous praxis, Internet, networks, settler state, decolonization, land question, counter-binaries, epistemic injustice (7)</w:t>
      </w:r>
    </w:p>
    <w:p w14:paraId="1C6A3BEE" w14:textId="77777777" w:rsidR="00076776" w:rsidRDefault="00076776"/>
    <w:p w14:paraId="3289C9DE" w14:textId="77777777" w:rsidR="00076776" w:rsidRDefault="00000000">
      <w:pPr>
        <w:pStyle w:val="Heading2"/>
      </w:pPr>
      <w:r>
        <w:t>Essential quote</w:t>
      </w:r>
    </w:p>
    <w:p w14:paraId="6B120A29" w14:textId="77777777" w:rsidR="00076776" w:rsidRDefault="00000000">
      <w:r>
        <w:t>19-20 Creating maps and surveys that show no trace of Indigenous territory or terrain is representative of the mechanisms of spatial and epistemological redistribution.</w:t>
      </w:r>
    </w:p>
    <w:p w14:paraId="2E1CAFCC" w14:textId="77777777" w:rsidR="00076776" w:rsidRDefault="00076776"/>
    <w:p w14:paraId="1D90E3FA" w14:textId="77777777" w:rsidR="00076776" w:rsidRDefault="00000000">
      <w:pPr>
        <w:pStyle w:val="Heading2"/>
      </w:pPr>
      <w:r>
        <w:t>Terms</w:t>
      </w:r>
    </w:p>
    <w:p w14:paraId="5A86B081" w14:textId="77777777" w:rsidR="00076776" w:rsidRDefault="00000000">
      <w:r>
        <w:rPr>
          <w:highlight w:val="green"/>
        </w:rPr>
        <w:t>@</w:t>
      </w:r>
      <w:proofErr w:type="gramStart"/>
      <w:r>
        <w:rPr>
          <w:highlight w:val="green"/>
        </w:rPr>
        <w:t>Motherlode!@</w:t>
      </w:r>
      <w:proofErr w:type="gramEnd"/>
      <w:r>
        <w:rPr>
          <w:highlight w:val="green"/>
        </w:rPr>
        <w:t>ColDesp@Diss@FFessay@Knote: NOTE the GLOSSARY that starts on page 161. It is amazing…</w:t>
      </w:r>
      <w:r>
        <w:t xml:space="preserve"> See the definitions for settler colonialism, Indigenous, reframing, colonization, and others. </w:t>
      </w:r>
    </w:p>
    <w:p w14:paraId="7C2E3806" w14:textId="77777777" w:rsidR="00076776" w:rsidRDefault="00000000">
      <w:r>
        <w:t xml:space="preserve">6 </w:t>
      </w:r>
      <w:r>
        <w:rPr>
          <w:b/>
        </w:rPr>
        <w:t>ICT</w:t>
      </w:r>
      <w:r>
        <w:t>: information and communication technologies (ICTs).</w:t>
      </w:r>
    </w:p>
    <w:p w14:paraId="1428455A" w14:textId="77777777" w:rsidR="00076776" w:rsidRDefault="00000000">
      <w:r>
        <w:rPr>
          <w:highlight w:val="green"/>
        </w:rPr>
        <w:t xml:space="preserve">7 </w:t>
      </w:r>
      <w:r>
        <w:rPr>
          <w:b/>
          <w:highlight w:val="green"/>
        </w:rPr>
        <w:t xml:space="preserve">epistemic </w:t>
      </w:r>
      <w:proofErr w:type="gramStart"/>
      <w:r>
        <w:rPr>
          <w:b/>
          <w:highlight w:val="green"/>
        </w:rPr>
        <w:t>injustice</w:t>
      </w:r>
      <w:proofErr w:type="gramEnd"/>
      <w:r>
        <w:t xml:space="preserve"> @OET</w:t>
      </w:r>
    </w:p>
    <w:p w14:paraId="67F95B3E" w14:textId="77777777" w:rsidR="00076776" w:rsidRDefault="00000000">
      <w:r>
        <w:t xml:space="preserve">11-12 </w:t>
      </w:r>
      <w:r>
        <w:rPr>
          <w:b/>
        </w:rPr>
        <w:t>Enlightenment-era values</w:t>
      </w:r>
      <w:r>
        <w:t>: In 1432, the term was used to indicate matters of surveillance and accusation, and the subsequent need for adjudication, by English authorities.</w:t>
      </w:r>
      <w:r>
        <w:rPr>
          <w:vertAlign w:val="superscript"/>
        </w:rPr>
        <w:t>8</w:t>
      </w:r>
      <w:r>
        <w:t xml:space="preserve"> It was a term dependent on the machinations of power politics, useful only—as all “information” is—when pieced into a greater strategy, formula, or design. </w:t>
      </w:r>
      <w:proofErr w:type="gramStart"/>
      <w:r>
        <w:t>With regard to</w:t>
      </w:r>
      <w:proofErr w:type="gramEnd"/>
      <w:r>
        <w:t xml:space="preserve"> the politics of sovereign authority, it was the nascent notions of empire, conquest, and saltwater colonialism that shaded the Enlightenment project as much more than state making but as part of a greater strategy of economic war making through the occupation, removal, and settlement of Indigenous bodies, lands, and waters. The military, ethnographic, </w:t>
      </w:r>
      <w:r>
        <w:rPr>
          <w:b/>
        </w:rPr>
        <w:t>cartographic</w:t>
      </w:r>
      <w:r>
        <w:t xml:space="preserve">, and economic visions of the known world—even the notion that it might be possible for noble elites to know the shape and characteristics of places all over the world—depend on stores of transferrable information: </w:t>
      </w:r>
      <w:r>
        <w:rPr>
          <w:b/>
        </w:rPr>
        <w:t>maps</w:t>
      </w:r>
      <w:r>
        <w:t>, compendiums, libraries, and, now, databases, sites, and search algorithms. … It is</w:t>
      </w:r>
      <w:proofErr w:type="gramStart"/>
      <w:r>
        <w:t>, in itself, a</w:t>
      </w:r>
      <w:proofErr w:type="gramEnd"/>
      <w:r>
        <w:t xml:space="preserve"> practice and ideology accumulated out of the recurring need to organize strategies for knowing across competing global epistemologies.</w:t>
      </w:r>
      <w:r>
        <w:rPr>
          <w:vertAlign w:val="superscript"/>
        </w:rPr>
        <w:t>11</w:t>
      </w:r>
    </w:p>
    <w:p w14:paraId="642E59A6" w14:textId="77777777" w:rsidR="00076776" w:rsidRDefault="00000000">
      <w:r>
        <w:t xml:space="preserve">13-14 </w:t>
      </w:r>
      <w:r>
        <w:rPr>
          <w:b/>
          <w:highlight w:val="green"/>
        </w:rPr>
        <w:t>technology</w:t>
      </w:r>
      <w:r>
        <w:t>: @OET …</w:t>
      </w:r>
      <w:r>
        <w:rPr>
          <w:rFonts w:ascii="Times" w:eastAsia="Times" w:hAnsi="Times" w:cs="Times"/>
          <w:color w:val="141413"/>
          <w:sz w:val="20"/>
          <w:szCs w:val="20"/>
        </w:rPr>
        <w:t xml:space="preserve"> </w:t>
      </w:r>
      <w:r>
        <w:t xml:space="preserve">most often in reference to a specific device: an object, like an Xbox, iPhone, or tablet, for example. Many </w:t>
      </w:r>
      <w:proofErr w:type="gramStart"/>
      <w:r>
        <w:t>times</w:t>
      </w:r>
      <w:proofErr w:type="gramEnd"/>
      <w:r>
        <w:t xml:space="preserve"> individuals speak about technology as if it were an object that could be removed from the immediate environment with no effect. … While it is possible to frame technology as a societal condition, an environment of industry and innovation, a social scientific mechanism, or even, popularly, a kind of machine, as an information scientist I think of technology more often as a system of devices through which information—legible, respectively, to humans and machines—circulates to give depth or add meaning to orchestrated human goals.</w:t>
      </w:r>
    </w:p>
    <w:p w14:paraId="6132265F" w14:textId="77777777" w:rsidR="00076776" w:rsidRDefault="00000000">
      <w:r>
        <w:t xml:space="preserve">14 </w:t>
      </w:r>
      <w:r>
        <w:rPr>
          <w:b/>
        </w:rPr>
        <w:t>information</w:t>
      </w:r>
      <w:r>
        <w:t>: Indeed, it is helpful to think of information like water. At the molecular level, it is invisible and imperceptible to the human eye, yet as beings made in large part of water, we are literally swimming in dilutions of it every day, through our breath, the daily ablutions, and cups of coffee and tea. Like water, information takes the shape of its container. The job of the interface designer is to create the container in anticipation of human desires.</w:t>
      </w:r>
    </w:p>
    <w:p w14:paraId="5BF6E805" w14:textId="77777777" w:rsidR="00076776" w:rsidRDefault="00000000">
      <w:r>
        <w:t xml:space="preserve">17 </w:t>
      </w:r>
      <w:r>
        <w:rPr>
          <w:b/>
        </w:rPr>
        <w:t>Indigenous peoples</w:t>
      </w:r>
      <w:r>
        <w:t xml:space="preserve">: What is the basis for the term Indigenous peoples? The short answer is that Native and Indigenous </w:t>
      </w:r>
      <w:proofErr w:type="gramStart"/>
      <w:r>
        <w:t>peoples</w:t>
      </w:r>
      <w:proofErr w:type="gramEnd"/>
      <w:r>
        <w:t xml:space="preserve"> bond through a shared experience of overlapping waves of colonialism. Colonialism is the social condition—the milieu—that abets the enactment of colonization policies. The contemporary goals of colonization are fundamentally tied to the goals </w:t>
      </w:r>
      <w:r>
        <w:lastRenderedPageBreak/>
        <w:t>of an elite class of citizen-subjects who desire to remove the original peoples of a land from that land in pursuit of the greater goals of settlement and nationalist modernization or development.</w:t>
      </w:r>
    </w:p>
    <w:p w14:paraId="2A2FFC08" w14:textId="77777777" w:rsidR="00076776" w:rsidRDefault="00000000">
      <w:r>
        <w:t xml:space="preserve">20 </w:t>
      </w:r>
      <w:r>
        <w:rPr>
          <w:b/>
        </w:rPr>
        <w:t>Colonizing systems</w:t>
      </w:r>
      <w:r>
        <w:t>—orchestrated units of devices, data, technicians, techniques, and rules—are the outcome and reflection of larger objectives, goals, and imaginaries pervading colonial institutions.</w:t>
      </w:r>
    </w:p>
    <w:p w14:paraId="0DE48E2F" w14:textId="77777777" w:rsidR="00076776" w:rsidRDefault="00000000">
      <w:r>
        <w:t xml:space="preserve">20 </w:t>
      </w:r>
      <w:r>
        <w:rPr>
          <w:b/>
        </w:rPr>
        <w:t>sociotechnical assemblage</w:t>
      </w:r>
      <w:r>
        <w:t>: One can research the taxation ledgers, land deeds and treaties, associated maps and surveys, and caste schedules, and the systems and devices used to create and organize this classification, and proceed to identify the parameters of a particular sociotechnical assemblage—or a set of interlocking colonizing systems and the institutions they work through—devised to maintain the Spanish colonial class hierarchy. [22] The publishing, editorial, and distribution systems that produce and promote Eurocentric American history narratives in public school textbooks are an example of a colonizing sociotechnical assemblage.</w:t>
      </w:r>
    </w:p>
    <w:p w14:paraId="142F5B4C" w14:textId="77777777" w:rsidR="00076776" w:rsidRDefault="00000000">
      <w:r>
        <w:t xml:space="preserve">23 </w:t>
      </w:r>
      <w:proofErr w:type="spellStart"/>
      <w:r>
        <w:rPr>
          <w:b/>
        </w:rPr>
        <w:t>technicization</w:t>
      </w:r>
      <w:proofErr w:type="spellEnd"/>
      <w:r>
        <w:t>: Source: Jacques Ellul, The Technological Society (New York: Vintage Books, 1964). Relating systems of devices and information flows to colonialism requires integrating the material and tangible aspects of information systems with sociological explanations of the mechanisms of colonialism. It requires reading Indigenous theories of colonialism and decolonization through what Ellul would call “a technician’s eyes.”</w:t>
      </w:r>
      <w:r>
        <w:rPr>
          <w:vertAlign w:val="superscript"/>
        </w:rPr>
        <w:t>22</w:t>
      </w:r>
      <w:r>
        <w:t xml:space="preserve"> // While there are many explanations of colonialism, few lend themselves to such subversive readings of “</w:t>
      </w:r>
      <w:proofErr w:type="spellStart"/>
      <w:r>
        <w:t>technicíse</w:t>
      </w:r>
      <w:proofErr w:type="spellEnd"/>
      <w:r>
        <w:t>,” or “technicization.”</w:t>
      </w:r>
      <w:r>
        <w:rPr>
          <w:vertAlign w:val="superscript"/>
        </w:rPr>
        <w:t>23</w:t>
      </w:r>
    </w:p>
    <w:p w14:paraId="77CE2B41" w14:textId="77777777" w:rsidR="00076776" w:rsidRDefault="00000000">
      <w:r>
        <w:t xml:space="preserve">123 </w:t>
      </w:r>
      <w:r>
        <w:rPr>
          <w:b/>
        </w:rPr>
        <w:t>Indian Country</w:t>
      </w:r>
      <w:r>
        <w:t>: [from glossary, p. 166+] A legal term that refers to the federally recognized tribes and state-recognized tribes, pueblos, rancherias, bands, and Alaska Native villages and corporations within the political boundaries of the United States. Colloquially, the term also refers to Native peoples’ habits and norms in this somewhat parallel society.</w:t>
      </w:r>
    </w:p>
    <w:p w14:paraId="3B5E42BE" w14:textId="77777777" w:rsidR="00076776" w:rsidRDefault="00000000">
      <w:r>
        <w:rPr>
          <w:highlight w:val="green"/>
        </w:rPr>
        <w:t>128-29 [@DissSource@</w:t>
      </w:r>
      <w:proofErr w:type="gramStart"/>
      <w:r>
        <w:rPr>
          <w:highlight w:val="green"/>
        </w:rPr>
        <w:t>L?@</w:t>
      </w:r>
      <w:proofErr w:type="gramEnd"/>
      <w:r>
        <w:rPr>
          <w:highlight w:val="green"/>
        </w:rPr>
        <w:t xml:space="preserve">DECOL] </w:t>
      </w:r>
      <w:r>
        <w:rPr>
          <w:b/>
          <w:highlight w:val="green"/>
        </w:rPr>
        <w:t>decolonization</w:t>
      </w:r>
      <w:r>
        <w:t xml:space="preserve"> </w:t>
      </w:r>
      <w:proofErr w:type="gramStart"/>
      <w:r>
        <w:t>To</w:t>
      </w:r>
      <w:proofErr w:type="gramEnd"/>
      <w:r>
        <w:t xml:space="preserve"> be clear, speaking about decolonization from an Indigenous perspective means not only interrogating racist, sexist, and oppressive colonial structures and logics; it also requires creating the conditions for the total divestiture of the occupying foreign powers in Indigenous territories.</w:t>
      </w:r>
      <w:proofErr w:type="gramStart"/>
      <w:r>
        <w:t>4 .</w:t>
      </w:r>
      <w:proofErr w:type="gramEnd"/>
      <w:r>
        <w:t xml:space="preserve"> … in the context of Native North America is often focused on (1) reclaiming tribal and Indigenous understandings of the self with relation to settlers, people of color, and other tribal people, as well as reviving Indigenous sensibilities around belonging and community responsibility; (2) revitalizing non-European Native and Indigenous languages, philosophies, practices, narratives, and spiritualities; and (3) restoring Indigenous biomes, including lands and waterways, and the ways of being that cultivate Native relationships with landscapes. Decolonization moves beyond anticolonial critique and includes building Indigenous programs and institutions that support self-determination and self-governance. … [130] Like technology, [decolonization] has the capacity to operate like a black box. Neophytes use the word lightly and apply it to any modality that is anti- racist, antisexist, anti-neoliberal, or anticolonial, with little regard for the vastness of the idea: a status of Indigenous independence, the return of tribal lands, or, as Leslie Marmon Silko wrote in 1994, a total spiritual reclamation of the homelands.7</w:t>
      </w:r>
    </w:p>
    <w:p w14:paraId="2A333CAE" w14:textId="77777777" w:rsidR="00076776" w:rsidRDefault="00000000">
      <w:r>
        <w:t xml:space="preserve">130 </w:t>
      </w:r>
      <w:r>
        <w:rPr>
          <w:b/>
        </w:rPr>
        <w:t>the Internet</w:t>
      </w:r>
      <w:r>
        <w:t xml:space="preserve">—a globally networked series of infrastructures built around a set of standards… </w:t>
      </w:r>
    </w:p>
    <w:p w14:paraId="0AABA7E5" w14:textId="77777777" w:rsidR="00076776" w:rsidRDefault="00000000">
      <w:r>
        <w:rPr>
          <w:highlight w:val="green"/>
        </w:rPr>
        <w:t xml:space="preserve">130 </w:t>
      </w:r>
      <w:r>
        <w:rPr>
          <w:b/>
          <w:highlight w:val="green"/>
        </w:rPr>
        <w:t>Indigenous praxis</w:t>
      </w:r>
      <w:r>
        <w:t xml:space="preserve"> (the actions that Native and Indigenous peoples engage </w:t>
      </w:r>
      <w:proofErr w:type="gramStart"/>
      <w:r>
        <w:t>in order to</w:t>
      </w:r>
      <w:proofErr w:type="gramEnd"/>
      <w:r>
        <w:t xml:space="preserve"> subvert colonization) and the function of </w:t>
      </w:r>
      <w:r>
        <w:rPr>
          <w:b/>
        </w:rPr>
        <w:t>systems</w:t>
      </w:r>
      <w:r>
        <w:t xml:space="preserve"> (databases, social media networks, data-sharing agreements, reporting structures, mapping, </w:t>
      </w:r>
      <w:proofErr w:type="spellStart"/>
      <w:r>
        <w:t>storywork</w:t>
      </w:r>
      <w:proofErr w:type="spellEnd"/>
      <w:r>
        <w:t>, gaming, library and archival projects, digital language-learning tools, etc.).</w:t>
      </w:r>
    </w:p>
    <w:p w14:paraId="7654B702" w14:textId="77777777" w:rsidR="00076776" w:rsidRDefault="00000000">
      <w:r>
        <w:lastRenderedPageBreak/>
        <w:t xml:space="preserve">134 </w:t>
      </w:r>
      <w:r>
        <w:rPr>
          <w:b/>
        </w:rPr>
        <w:t>going native</w:t>
      </w:r>
      <w:r>
        <w:t>: … a racist phrase and concept stemming from the early anthropological practice of living among Natives for purposes of ethnography yet rejecting the perceived Native customs of interacting, dressing, and thinking, for fear that white adaptation of the Native manner of relating in the world might skew the white researcher’s objective assessment of Native culture. Veiled in the language of science, the threat of “going native” is still discussed in qualitative methods texts as a concept indicating a relational distance that a researcher must maintain from the company of human subjects.</w:t>
      </w:r>
    </w:p>
    <w:p w14:paraId="2AFDB81F" w14:textId="77777777" w:rsidR="00076776" w:rsidRDefault="00000000">
      <w:r>
        <w:t xml:space="preserve">As a Yaqui woman who is also a researcher and scientist, I find the concept of “going native” troubling and illogical…. </w:t>
      </w:r>
    </w:p>
    <w:p w14:paraId="628D426B" w14:textId="77777777" w:rsidR="00076776" w:rsidRDefault="00000000">
      <w:r>
        <w:t xml:space="preserve">135 </w:t>
      </w:r>
      <w:r>
        <w:rPr>
          <w:b/>
        </w:rPr>
        <w:t>Native ways of knowing</w:t>
      </w:r>
      <w:r>
        <w:t xml:space="preserve">—those ways of perceiving, sharing, and creating data, information, and knowledge that are founded in unique and distinctly non-European tribal epistemologies…. </w:t>
      </w:r>
    </w:p>
    <w:p w14:paraId="6039F5CF" w14:textId="77777777" w:rsidR="00076776" w:rsidRDefault="00000000">
      <w:r>
        <w:t xml:space="preserve">135 </w:t>
      </w:r>
      <w:r>
        <w:rPr>
          <w:b/>
        </w:rPr>
        <w:t>positionality</w:t>
      </w:r>
      <w:r>
        <w:t xml:space="preserve">: … requires researchers to identify their own degrees of privilege through factors of race, class, educational attainment, income, ability, gender, and citizenship, among others, before seeking the epistemological basis of their intellectual craft. Doing so helps them understand how their way of making meaning, of framing research, within their conceptual universe is tied to their positionality within an unjust world. // Though </w:t>
      </w:r>
      <w:r>
        <w:rPr>
          <w:b/>
        </w:rPr>
        <w:t>reframing</w:t>
      </w:r>
      <w:r>
        <w:t xml:space="preserve"> is conceptually related to the methodology of positionality, it is more specific in orientation, as its precise goal is intellectual decolonization through the correction of white settler supremacist explanations of a social problem or challenge within an Indigenous community.</w:t>
      </w:r>
    </w:p>
    <w:p w14:paraId="2A97F877" w14:textId="77777777" w:rsidR="00076776" w:rsidRDefault="00000000">
      <w:r>
        <w:t xml:space="preserve">136 </w:t>
      </w:r>
      <w:r>
        <w:rPr>
          <w:b/>
        </w:rPr>
        <w:t>reframing</w:t>
      </w:r>
      <w:r>
        <w:t xml:space="preserve">: This is what makes reframing </w:t>
      </w:r>
      <w:r>
        <w:rPr>
          <w:b/>
        </w:rPr>
        <w:t>a decolonizing methodology</w:t>
      </w:r>
      <w:r>
        <w:t>: it reorients the techniques of applied science toward meeting the goals of tribal communities. That reorientation reframes the nature of the challenge. In this case, I shifted the inquiry away from “Why don’t Indians have access to the Internet?” to “In what ways do tribal leaders acquire Internet for their communities, and what can we learn from their approaches?”</w:t>
      </w:r>
    </w:p>
    <w:p w14:paraId="2323C726" w14:textId="77777777" w:rsidR="00076776" w:rsidRDefault="00000000">
      <w:r>
        <w:t xml:space="preserve">137 </w:t>
      </w:r>
      <w:r>
        <w:rPr>
          <w:b/>
        </w:rPr>
        <w:t>myth of progress</w:t>
      </w:r>
      <w:r>
        <w:t xml:space="preserve"> through techno-scientific advance is that of the homogeneous digital user, the inevitable consumer in every place in every country who desires to partake in Thomas Friedman’s globalized “flat” world.</w:t>
      </w:r>
      <w:r>
        <w:rPr>
          <w:vertAlign w:val="superscript"/>
        </w:rPr>
        <w:t>13</w:t>
      </w:r>
      <w:r>
        <w:t xml:space="preserve"> While there are certainly global technical standards regulating Internet use—the interoperability of computing languages and designations of file types, for example—there are nevertheless various imaginaries shaping Internet use in specific places.</w:t>
      </w:r>
    </w:p>
    <w:p w14:paraId="2E9BAF15" w14:textId="77777777" w:rsidR="00076776" w:rsidRDefault="00076776"/>
    <w:p w14:paraId="25988DE6" w14:textId="77777777" w:rsidR="00076776" w:rsidRDefault="00000000">
      <w:pPr>
        <w:pStyle w:val="Heading2"/>
      </w:pPr>
      <w:r>
        <w:t>Core quotes</w:t>
      </w:r>
    </w:p>
    <w:p w14:paraId="68887F27" w14:textId="77777777" w:rsidR="00076776" w:rsidRDefault="00000000">
      <w:pPr>
        <w:pStyle w:val="Heading4"/>
      </w:pPr>
      <w:r>
        <w:t>Introduction</w:t>
      </w:r>
    </w:p>
    <w:p w14:paraId="5782E9C3" w14:textId="77777777" w:rsidR="00076776" w:rsidRDefault="00000000">
      <w:r>
        <w:t>6 @IR@TechDev@SJ</w:t>
      </w:r>
    </w:p>
    <w:p w14:paraId="544EBB93" w14:textId="77777777" w:rsidR="00076776" w:rsidRDefault="00000000">
      <w:pPr>
        <w:ind w:left="720"/>
      </w:pPr>
      <w:r>
        <w:t xml:space="preserve">It is our right as Indigenous peoples to know the origins of our </w:t>
      </w:r>
      <w:proofErr w:type="gramStart"/>
      <w:r>
        <w:t>current status</w:t>
      </w:r>
      <w:proofErr w:type="gramEnd"/>
      <w:r>
        <w:t xml:space="preserve"> as colonized peoples.</w:t>
      </w:r>
      <w:r>
        <w:rPr>
          <w:vertAlign w:val="superscript"/>
        </w:rPr>
        <w:t>8</w:t>
      </w:r>
      <w:r>
        <w:t xml:space="preserve"> It is our right to know this so that we can speak back to unjust govern- mental power. It is our right to mobilize, enact, and determine our own trajectories as Native and Indigenous peoples.</w:t>
      </w:r>
    </w:p>
    <w:p w14:paraId="6B7ED928" w14:textId="77777777" w:rsidR="00076776" w:rsidRDefault="00076776"/>
    <w:p w14:paraId="7C5DBCCD" w14:textId="77777777" w:rsidR="00076776" w:rsidRDefault="00000000">
      <w:r>
        <w:t>7 @IK@SettState@Diss</w:t>
      </w:r>
    </w:p>
    <w:p w14:paraId="33210C9E" w14:textId="77777777" w:rsidR="00076776" w:rsidRDefault="00000000">
      <w:pPr>
        <w:ind w:left="720"/>
      </w:pPr>
      <w:r>
        <w:t xml:space="preserve">As Indigenous thinkers are </w:t>
      </w:r>
      <w:proofErr w:type="gramStart"/>
      <w:r>
        <w:t>well aware</w:t>
      </w:r>
      <w:proofErr w:type="gramEnd"/>
      <w:r>
        <w:t xml:space="preserve">, a mechanism of colonization is the subjugation of Indigenous knowledge. Through centering Native experiences and weaving together Indigenous and information scientific methodologies, this book challenges the shadow of </w:t>
      </w:r>
      <w:r>
        <w:rPr>
          <w:b/>
        </w:rPr>
        <w:t>epistemic injustice</w:t>
      </w:r>
      <w:r>
        <w:t>.</w:t>
      </w:r>
      <w:r>
        <w:rPr>
          <w:vertAlign w:val="superscript"/>
        </w:rPr>
        <w:t>9</w:t>
      </w:r>
    </w:p>
    <w:p w14:paraId="15EDE4E4" w14:textId="77777777" w:rsidR="00076776" w:rsidRDefault="00000000">
      <w:pPr>
        <w:pStyle w:val="Heading4"/>
      </w:pPr>
      <w:r>
        <w:lastRenderedPageBreak/>
        <w:t>Chapter 1: Network Thinking</w:t>
      </w:r>
    </w:p>
    <w:p w14:paraId="6272A9FC" w14:textId="77777777" w:rsidR="00076776" w:rsidRDefault="00000000">
      <w:r>
        <w:t>11 @TechDev@Reason@SettPsych@ISr</w:t>
      </w:r>
    </w:p>
    <w:p w14:paraId="63F01A5C" w14:textId="77777777" w:rsidR="00076776" w:rsidRDefault="00000000">
      <w:pPr>
        <w:ind w:left="720"/>
      </w:pPr>
      <w:r>
        <w:t>Understanding technology—and</w:t>
      </w:r>
      <w:proofErr w:type="gramStart"/>
      <w:r>
        <w:t>, in particular, digital</w:t>
      </w:r>
      <w:proofErr w:type="gramEnd"/>
      <w:r>
        <w:t xml:space="preserve"> technology—requires understanding the conditions under which innovation occurs. At this moment in the tapestry of world histories, digital technology is fascinating precisely because, in the technically advanced places, there remains a memory as well as some judgment of what everyday life was like before the precision, efficacy, immediacy, and interoperability of ubiquitous computing. Read against the century of US anti-Indian campaigns and imperial expansion, </w:t>
      </w:r>
      <w:r>
        <w:rPr>
          <w:b/>
        </w:rPr>
        <w:t xml:space="preserve">narratives of technological advancement function to satisfy societal desires for Enlightenment-era values of progress and scientific evolution </w:t>
      </w:r>
      <w:proofErr w:type="gramStart"/>
      <w:r>
        <w:rPr>
          <w:b/>
        </w:rPr>
        <w:t>in spite of</w:t>
      </w:r>
      <w:proofErr w:type="gramEnd"/>
      <w:r>
        <w:rPr>
          <w:b/>
        </w:rPr>
        <w:t xml:space="preserve"> the colonial fabric of Indian eradication</w:t>
      </w:r>
      <w:r>
        <w:t>.</w:t>
      </w:r>
      <w:r>
        <w:rPr>
          <w:vertAlign w:val="superscript"/>
        </w:rPr>
        <w:t>7</w:t>
      </w:r>
    </w:p>
    <w:p w14:paraId="0D303841" w14:textId="77777777" w:rsidR="00076776" w:rsidRDefault="00076776"/>
    <w:p w14:paraId="0DEAE09F" w14:textId="77777777" w:rsidR="00076776" w:rsidRDefault="00000000">
      <w:pPr>
        <w:rPr>
          <w:highlight w:val="green"/>
        </w:rPr>
      </w:pPr>
      <w:r>
        <w:rPr>
          <w:highlight w:val="green"/>
        </w:rPr>
        <w:t>13 @DissSource@FFessay@SettPsyche@Motherlode!</w:t>
      </w:r>
    </w:p>
    <w:p w14:paraId="06B7E06C" w14:textId="77777777" w:rsidR="00076776" w:rsidRDefault="00000000">
      <w:pPr>
        <w:ind w:left="720"/>
      </w:pPr>
      <w:r>
        <w:t>If we were to reenvision the world as a series of ones and zeros, machine-readable and system-compatible, we might tend toward a view of the universe in which changes occur not as an outcome of social forces or great heroes and institutions but rather due to the algorithmic accumulation of information through interlaced networks of humans and devices.</w:t>
      </w:r>
    </w:p>
    <w:p w14:paraId="57294C99" w14:textId="77777777" w:rsidR="00076776" w:rsidRDefault="00076776"/>
    <w:p w14:paraId="666C80B7" w14:textId="77777777" w:rsidR="00076776" w:rsidRDefault="00000000">
      <w:r>
        <w:t>15 @Map@TechDev@SettState@IK</w:t>
      </w:r>
    </w:p>
    <w:p w14:paraId="6B92E556" w14:textId="77777777" w:rsidR="00076776" w:rsidRDefault="00000000">
      <w:pPr>
        <w:ind w:left="720"/>
      </w:pPr>
      <w:r>
        <w:t>Being able to visually map networks and flows of information—and even to strategize the construction of clinics, telecommunications infrastructure, roadways, and wide area networks on this basis—depends on an empirical experience that is distinct from that of the Indigenous person whose life and whose relatives’ lives are shaped by centuries of marginalization, or, in information scientific terms, multiple kinds of network exclusion, multiple kinds of information asymmetries. As Anna Munster writes, emphasis on the “tidy” management of networks “deadens the sense of complexity” that is the life inside the network.</w:t>
      </w:r>
      <w:r>
        <w:rPr>
          <w:vertAlign w:val="superscript"/>
        </w:rPr>
        <w:t>17</w:t>
      </w:r>
      <w:r>
        <w:t xml:space="preserve"> … </w:t>
      </w:r>
      <w:r>
        <w:rPr>
          <w:b/>
        </w:rPr>
        <w:t>We do not just infer the existence of exclusion; we suffer from it, and our ways of knowing are shaped by the complexity of that experience</w:t>
      </w:r>
      <w:r>
        <w:t>.</w:t>
      </w:r>
    </w:p>
    <w:p w14:paraId="7D7513EB" w14:textId="77777777" w:rsidR="00076776" w:rsidRDefault="00076776"/>
    <w:p w14:paraId="0F8A0BFF" w14:textId="77777777" w:rsidR="00076776" w:rsidRDefault="00000000">
      <w:pPr>
        <w:rPr>
          <w:highlight w:val="green"/>
        </w:rPr>
      </w:pPr>
      <w:r>
        <w:rPr>
          <w:highlight w:val="green"/>
        </w:rPr>
        <w:t>18 @FFessay@IK@IndTech@SettState</w:t>
      </w:r>
    </w:p>
    <w:p w14:paraId="3DFADF39" w14:textId="77777777" w:rsidR="00076776" w:rsidRDefault="00000000">
      <w:pPr>
        <w:ind w:left="720"/>
      </w:pPr>
      <w:r>
        <w:t>Unlike most information scientists, Indigenous scientists are interested in how information and technology shape the colonial milieu. We pay attention to the ways knowledge is articulated in order to acknowledge, reveal, denigrate, or elide Indigenous experiences and make mental note of data sets that account for or do not account for Native peoples and how the availability of data about Native and Indigenous peoples shape decision making in and around Native communities. … Relating systems of devices and information flows to colonialism requires integrating the material and tangible aspects of information systems with sociological explanations of the mechanisms of colonialism. It requires reading Indigenous theories of colonialism and decolonization through what Ellul would call “a technician’s eyes.”</w:t>
      </w:r>
      <w:r>
        <w:rPr>
          <w:vertAlign w:val="superscript"/>
        </w:rPr>
        <w:t>22</w:t>
      </w:r>
    </w:p>
    <w:p w14:paraId="5C526047" w14:textId="77777777" w:rsidR="00076776" w:rsidRDefault="00000000">
      <w:r>
        <w:t>One could make a similar case for maps read through “Indigenous theories of colonialism and decolonization,” in that such readings requires a contrapuntal cartographer’s eyes [expand on this</w:t>
      </w:r>
      <w:proofErr w:type="gramStart"/>
      <w:r>
        <w:t>?]…</w:t>
      </w:r>
      <w:proofErr w:type="gramEnd"/>
      <w:r>
        <w:t xml:space="preserve">. </w:t>
      </w:r>
    </w:p>
    <w:p w14:paraId="5F446413" w14:textId="77777777" w:rsidR="00076776" w:rsidRDefault="00076776"/>
    <w:p w14:paraId="5DC01666" w14:textId="77777777" w:rsidR="00076776" w:rsidRDefault="00000000">
      <w:r>
        <w:t>19-20 @Motherlode@Map@IK@TN@CogImp</w:t>
      </w:r>
    </w:p>
    <w:p w14:paraId="2D283DAB" w14:textId="77777777" w:rsidR="00076776" w:rsidRDefault="00000000">
      <w:pPr>
        <w:ind w:left="720"/>
      </w:pPr>
      <w:r>
        <w:lastRenderedPageBreak/>
        <w:t>Creating maps and surveys that show no trace of Indigenous territory or terrain is representative of the mechanisms of spatial and epistemological redistribution.</w:t>
      </w:r>
    </w:p>
    <w:p w14:paraId="7BD29133" w14:textId="77777777" w:rsidR="00076776" w:rsidRDefault="00000000">
      <w:r>
        <w:t xml:space="preserve">Another example of cognitive imperialism in action: maps. </w:t>
      </w:r>
    </w:p>
    <w:p w14:paraId="581947B0" w14:textId="77777777" w:rsidR="00076776" w:rsidRDefault="00076776"/>
    <w:p w14:paraId="5CE01602" w14:textId="77777777" w:rsidR="00076776" w:rsidRDefault="00000000">
      <w:r>
        <w:t>21-22 @Hegem@SettState@Reason@FFessay@Diss</w:t>
      </w:r>
    </w:p>
    <w:p w14:paraId="1BB93A39" w14:textId="77777777" w:rsidR="00076776" w:rsidRDefault="00000000">
      <w:pPr>
        <w:ind w:left="720"/>
      </w:pPr>
      <w:r>
        <w:t xml:space="preserve">Colonizing systems include systems designed to classify populations in a way that favors white supremacy and encourages Indigenous subjugation and eradication, for example, through denial of rights based on blood quantum rolls or citizenship status records. </w:t>
      </w:r>
      <w:r>
        <w:rPr>
          <w:b/>
        </w:rPr>
        <w:t xml:space="preserve">Colonizing systems also may include systems that improve the efficiency of data and information exchanges across settler institutions while intentionally circumventing Native governance and social institutions. </w:t>
      </w:r>
      <w:r>
        <w:rPr>
          <w:highlight w:val="green"/>
        </w:rPr>
        <w:t xml:space="preserve">[See </w:t>
      </w:r>
      <w:proofErr w:type="gramStart"/>
      <w:r>
        <w:rPr>
          <w:highlight w:val="green"/>
        </w:rPr>
        <w:t>Figure  1.3.</w:t>
      </w:r>
      <w:proofErr w:type="gramEnd"/>
      <w:r>
        <w:rPr>
          <w:highlight w:val="green"/>
        </w:rPr>
        <w:t xml:space="preserve"> on p. 22]</w:t>
      </w:r>
    </w:p>
    <w:p w14:paraId="2BFB5AF9" w14:textId="77777777" w:rsidR="00076776" w:rsidRDefault="00076776"/>
    <w:p w14:paraId="64DDDA1F" w14:textId="77777777" w:rsidR="00076776" w:rsidRDefault="00000000">
      <w:pPr>
        <w:pStyle w:val="Heading4"/>
      </w:pPr>
      <w:r>
        <w:t xml:space="preserve">Chapter 6: Network Sovereignty </w:t>
      </w:r>
    </w:p>
    <w:p w14:paraId="2E05C508" w14:textId="77777777" w:rsidR="00076776" w:rsidRDefault="00000000">
      <w:r>
        <w:t>113 @MandDest@Internet@L?</w:t>
      </w:r>
    </w:p>
    <w:p w14:paraId="2E64A1B8" w14:textId="77777777" w:rsidR="00076776" w:rsidRDefault="00000000">
      <w:pPr>
        <w:ind w:left="720"/>
      </w:pPr>
      <w:r>
        <w:t>It is no coincidence that the discourse of Internet entrepreneurship is marked by the discourse of Manifest Destiny.</w:t>
      </w:r>
      <w:r>
        <w:rPr>
          <w:vertAlign w:val="superscript"/>
        </w:rPr>
        <w:t>21</w:t>
      </w:r>
      <w:r>
        <w:t xml:space="preserve"> Consider the terms and phrases information wants to be free, Electronic Frontier Foundation, and Internet pioneer. </w:t>
      </w:r>
      <w:r>
        <w:rPr>
          <w:b/>
        </w:rPr>
        <w:t xml:space="preserve">For Native peoples, it is as if the imperial urge to westward expansion moved into the cybersphere. </w:t>
      </w:r>
      <w:r>
        <w:t>…</w:t>
      </w:r>
      <w:r>
        <w:rPr>
          <w:b/>
        </w:rPr>
        <w:t xml:space="preserve"> </w:t>
      </w:r>
      <w:r>
        <w:t>Consider the tension between assertions that information wants to be free and that tribes need to claim sovereignty of the airwaves.</w:t>
      </w:r>
    </w:p>
    <w:p w14:paraId="659CD334" w14:textId="77777777" w:rsidR="00076776" w:rsidRDefault="00076776">
      <w:pPr>
        <w:ind w:left="720"/>
        <w:rPr>
          <w:b/>
        </w:rPr>
      </w:pPr>
    </w:p>
    <w:p w14:paraId="4C5F570B" w14:textId="77777777" w:rsidR="00076776" w:rsidRDefault="00000000">
      <w:pPr>
        <w:pStyle w:val="Heading4"/>
      </w:pPr>
      <w:r>
        <w:t>Chapter 7: Decolonizing the Technological</w:t>
      </w:r>
    </w:p>
    <w:p w14:paraId="009B2315" w14:textId="77777777" w:rsidR="00076776" w:rsidRDefault="00000000">
      <w:r>
        <w:t>132 @Epistem@Acad@IK@Science@TechDev@IndTech</w:t>
      </w:r>
    </w:p>
    <w:p w14:paraId="5A9D8730" w14:textId="77777777" w:rsidR="00076776" w:rsidRDefault="00000000">
      <w:pPr>
        <w:ind w:left="720"/>
      </w:pPr>
      <w:r>
        <w:t xml:space="preserve">For Native and Indigenous peoples, decolonizing the technological requires unpacking the black box of technology and then stepping away from what we find there. We have to take ourselves out of that box: the box that says we are premodern and therefore </w:t>
      </w:r>
      <w:proofErr w:type="spellStart"/>
      <w:r>
        <w:t>antitechnological</w:t>
      </w:r>
      <w:proofErr w:type="spellEnd"/>
      <w:r>
        <w:t xml:space="preserve">, the box that says that Native peoples do not do well in STEM (science, technology, engineering, and math) fields, the box that says that an investment in digital technologies is robbing us of our most sacred traditions, and the box that says that digital technologies are the best solution for the “Indian problem.” We </w:t>
      </w:r>
      <w:proofErr w:type="gramStart"/>
      <w:r>
        <w:t>have to</w:t>
      </w:r>
      <w:proofErr w:type="gramEnd"/>
      <w:r>
        <w:t xml:space="preserve"> challenge and interrogate those </w:t>
      </w:r>
      <w:r>
        <w:rPr>
          <w:b/>
        </w:rPr>
        <w:t>false logics</w:t>
      </w:r>
      <w:r>
        <w:t>. Then we must learn how to create something better: a new scientific subfield, a more appropriate design space, a more stable enterprise, a more knowledgeable tribal government, labs with better instruments, and thinkers with renewed respect for what Vine Deloria, Jr., referred to as traditional technologies, the holistic ways of knowing that precede physical instantiation.</w:t>
      </w:r>
      <w:r>
        <w:rPr>
          <w:vertAlign w:val="superscript"/>
        </w:rPr>
        <w:t>9</w:t>
      </w:r>
    </w:p>
    <w:p w14:paraId="68581CDF" w14:textId="77777777" w:rsidR="00076776" w:rsidRDefault="00076776"/>
    <w:p w14:paraId="1758738D" w14:textId="77777777" w:rsidR="00076776" w:rsidRDefault="00000000">
      <w:r>
        <w:t>135 @Internet@IK</w:t>
      </w:r>
    </w:p>
    <w:p w14:paraId="3755A836" w14:textId="77777777" w:rsidR="00076776" w:rsidRDefault="00000000">
      <w:r>
        <w:t xml:space="preserve">Howe, on the shifting spaces now available online: </w:t>
      </w:r>
    </w:p>
    <w:p w14:paraId="6C22FE19" w14:textId="77777777" w:rsidR="00076776" w:rsidRDefault="00000000">
      <w:pPr>
        <w:ind w:left="720"/>
      </w:pPr>
      <w:r>
        <w:t>…Howe describes as tribalism. In 1998, he asserted that “there is no place for tribalism in the cybersphere,” and more than a decade later, nested in the wired and digitally charged city of Seattle, I could agree.</w:t>
      </w:r>
      <w:r>
        <w:rPr>
          <w:vertAlign w:val="superscript"/>
        </w:rPr>
        <w:t>11</w:t>
      </w:r>
    </w:p>
    <w:p w14:paraId="157B0729" w14:textId="77777777" w:rsidR="00076776" w:rsidRDefault="00076776"/>
    <w:p w14:paraId="2BCE6FF6" w14:textId="77777777" w:rsidR="00076776" w:rsidRDefault="00000000">
      <w:pPr>
        <w:ind w:left="720"/>
      </w:pPr>
      <w:r>
        <w:t xml:space="preserve">[136] This investigation of tribal uses of ICTs reveals (1) how alternative histories and governmental paradigms are embedded in the design values and uses of ICTs by Native peoples, (2) how the colonial conditions shaping Indian Country in turn shape access to </w:t>
      </w:r>
      <w:r>
        <w:lastRenderedPageBreak/>
        <w:t>information, systems, and devices, and (3) how issues of access are deeply political and historical.</w:t>
      </w:r>
    </w:p>
    <w:p w14:paraId="29A9EF75" w14:textId="77777777" w:rsidR="00076776" w:rsidRDefault="00076776"/>
    <w:p w14:paraId="77543318" w14:textId="77777777" w:rsidR="00076776" w:rsidRDefault="00000000">
      <w:pPr>
        <w:pStyle w:val="Heading4"/>
      </w:pPr>
      <w:r>
        <w:t>Conclusion</w:t>
      </w:r>
    </w:p>
    <w:p w14:paraId="74390684" w14:textId="77777777" w:rsidR="00076776" w:rsidRDefault="00000000">
      <w:r>
        <w:t>142 @</w:t>
      </w:r>
      <w:proofErr w:type="gramStart"/>
      <w:r>
        <w:t>Link:</w:t>
      </w:r>
      <w:r>
        <w:rPr>
          <w:highlight w:val="magenta"/>
        </w:rPr>
        <w:t>Heidegger</w:t>
      </w:r>
      <w:proofErr w:type="gramEnd"/>
      <w:r>
        <w:t>@Technoc@FFessay@Arg</w:t>
      </w:r>
    </w:p>
    <w:p w14:paraId="4ABBFE3F" w14:textId="77777777" w:rsidR="00076776" w:rsidRDefault="00000000">
      <w:r>
        <w:t xml:space="preserve">Note use of contrapuntal in this, and that this could be used as an argument template to make a case for differing approaches to maps as technological objects. </w:t>
      </w:r>
    </w:p>
    <w:p w14:paraId="2915A050" w14:textId="77777777" w:rsidR="00076776" w:rsidRDefault="00000000">
      <w:pPr>
        <w:ind w:left="720"/>
      </w:pPr>
      <w:r>
        <w:t xml:space="preserve">Here is where Heidegger and Deloria part ways: Heidegger sees man as a technological being separate from the natural world, while Deloria sees humans as deeply in rhythm with a constantly unfolding cosmic natural order. When it comes to individuals using ICTs </w:t>
      </w:r>
      <w:proofErr w:type="spellStart"/>
      <w:r>
        <w:t>en</w:t>
      </w:r>
      <w:proofErr w:type="spellEnd"/>
      <w:r>
        <w:t xml:space="preserve"> masse </w:t>
      </w:r>
      <w:proofErr w:type="gramStart"/>
      <w:r>
        <w:t>in order to</w:t>
      </w:r>
      <w:proofErr w:type="gramEnd"/>
      <w:r>
        <w:t xml:space="preserve"> self-govern and politically mobilize, Heidegger views ICTs as a large-scale means for dominating nature and, in so doing, fashioning humanity toward a superior, though deeply flawed, state of technological advance. Deloria reminds us that as Native peoples, our obligations in utilizing technologies are to strengthen our relationships to our homelands and to cultivate wisdom from the patterns we experience there.</w:t>
      </w:r>
      <w:r>
        <w:rPr>
          <w:vertAlign w:val="superscript"/>
        </w:rPr>
        <w:t>3</w:t>
      </w:r>
      <w:r>
        <w:t xml:space="preserve"> These two philosophical approaches to technology indicate distinctive, at times divergent, and </w:t>
      </w:r>
      <w:r>
        <w:rPr>
          <w:b/>
        </w:rPr>
        <w:t>contrapuntal trajectories</w:t>
      </w:r>
      <w:r>
        <w:t xml:space="preserve"> regarding the social impacts of large-scale adoption of network technologies.</w:t>
      </w:r>
    </w:p>
    <w:p w14:paraId="3DB3E658" w14:textId="77777777" w:rsidR="00076776" w:rsidRDefault="00000000">
      <w:r>
        <w:rPr>
          <w:highlight w:val="magenta"/>
        </w:rPr>
        <w:t>Vine Deloria</w:t>
      </w:r>
      <w:r>
        <w:t xml:space="preserve"> clearly has an influence for D, as this opens Chapter 3: </w:t>
      </w:r>
    </w:p>
    <w:p w14:paraId="39988A2C" w14:textId="77777777" w:rsidR="00076776" w:rsidRDefault="00000000">
      <w:pPr>
        <w:ind w:left="720"/>
      </w:pPr>
      <w:r>
        <w:t>At the very foundations of the world in which we live it is a unified world and cannot be reduced by techniques and rationality. Where traditional Indians and modern science are quite different is in what they do with their knowledge after they have obtained it. Traditional people preserve the whole vision, whereas scientists generally reduce the experience to its alleged constituent parts and inherent principles. (Vine Deloria, Jr., “Traditional Technology”)</w:t>
      </w:r>
    </w:p>
    <w:p w14:paraId="2BF98969" w14:textId="77777777" w:rsidR="00076776" w:rsidRDefault="00076776"/>
    <w:p w14:paraId="1F19494E" w14:textId="77777777" w:rsidR="00076776" w:rsidRDefault="00000000">
      <w:r>
        <w:t>144 @IK@IndTech@Internet</w:t>
      </w:r>
    </w:p>
    <w:p w14:paraId="281DE5BE" w14:textId="77777777" w:rsidR="00076776" w:rsidRDefault="00000000">
      <w:pPr>
        <w:ind w:left="720"/>
      </w:pPr>
      <w:r>
        <w:t xml:space="preserve">Above all, this research shows that weaving broadband infrastructures into Indian Country is not just for general purposes of education, enterprise, or entertainment but is also about educating younger generations in Native, Indigenous, and tribal ways of knowing, supporting tribal enterprise, and encouraging the creativity of Native peoples </w:t>
      </w:r>
      <w:proofErr w:type="gramStart"/>
      <w:r>
        <w:t>in spite of</w:t>
      </w:r>
      <w:proofErr w:type="gramEnd"/>
      <w:r>
        <w:t xml:space="preserve"> colonization. Native youth have a consciousness—an awareness and sensation of exigency—and this Indigenous consciousness is the basis of future exercises of cultural sovereignty. As inherently sovereign peoples, this is the reason for our right to know.</w:t>
      </w:r>
      <w:r>
        <w:rPr>
          <w:vertAlign w:val="superscript"/>
        </w:rPr>
        <w:t>5</w:t>
      </w:r>
    </w:p>
    <w:p w14:paraId="1E036A8A" w14:textId="77777777" w:rsidR="00076776" w:rsidRDefault="00076776"/>
    <w:p w14:paraId="041AF2AC" w14:textId="77777777" w:rsidR="00076776" w:rsidRDefault="00000000">
      <w:pPr>
        <w:pStyle w:val="Heading2"/>
      </w:pPr>
      <w:r>
        <w:t>Secondary quotes</w:t>
      </w:r>
    </w:p>
    <w:p w14:paraId="18DC6F5A" w14:textId="77777777" w:rsidR="00076776" w:rsidRDefault="00000000">
      <w:r>
        <w:t xml:space="preserve">5 Idle No More’s political mobilization was the first of its kind that was transnational, fast-paced, self-organizing, emergent, dynamic, and showing clear signs of generating public responsiveness. / 6-7 </w:t>
      </w:r>
      <w:r>
        <w:rPr>
          <w:b/>
        </w:rPr>
        <w:t>Book’s guiding purposes</w:t>
      </w:r>
      <w:r>
        <w:t xml:space="preserve">: I write this book to (1) weave Native and Indigenous thought more firmly and productively into the broad fields of science, technology, and society studies; (2) introduce Native and Indigenous thinkers to the language of information science and sociotechnical systems; and (3) share what I have learned thus far about the uses and implications of broadband Internet in Indian Country with colleagues in the sciences, students, educators, policy makers, tribal leaders, and the general public. … This book is a scientific narrative, following the arc of a scientist walking on the path of discovery with the rigor of specific methodological interventions. / 16 The colonial experiences of contemporary Native </w:t>
      </w:r>
      <w:r>
        <w:lastRenderedPageBreak/>
        <w:t xml:space="preserve">peoples in the United States are </w:t>
      </w:r>
      <w:proofErr w:type="gramStart"/>
      <w:r>
        <w:t>similar to</w:t>
      </w:r>
      <w:proofErr w:type="gramEnd"/>
      <w:r>
        <w:t xml:space="preserve">, but not a replication of, the experiences of contemporary First Nations peoples in Canada, and neither is identical to the colonial </w:t>
      </w:r>
      <w:proofErr w:type="spellStart"/>
      <w:r>
        <w:t>experi</w:t>
      </w:r>
      <w:proofErr w:type="spellEnd"/>
      <w:r>
        <w:t xml:space="preserve">- </w:t>
      </w:r>
      <w:proofErr w:type="spellStart"/>
      <w:r>
        <w:t>ences</w:t>
      </w:r>
      <w:proofErr w:type="spellEnd"/>
      <w:r>
        <w:t xml:space="preserve"> of contemporary Indigenous peoples in Mexico. / 15 Here is where </w:t>
      </w:r>
      <w:r>
        <w:rPr>
          <w:b/>
        </w:rPr>
        <w:t>the scientific understanding of networks</w:t>
      </w:r>
      <w:r>
        <w:t xml:space="preserve"> clashes with the </w:t>
      </w:r>
      <w:r>
        <w:rPr>
          <w:b/>
        </w:rPr>
        <w:t>Indigenous experience of networks</w:t>
      </w:r>
      <w:r>
        <w:t xml:space="preserve">. A scientist may be able to look at a network map of, for example, the Internet service providers across the western United States in 1998 and observe features such as the </w:t>
      </w:r>
      <w:r>
        <w:rPr>
          <w:b/>
        </w:rPr>
        <w:t>asymmetry</w:t>
      </w:r>
      <w:r>
        <w:t xml:space="preserve"> of distribution of service across regions or the density of connections in cities. A tribal person residing outside Tuba City, Arizona, in 1998 has a personal experience of the depth of that asymmetry. / 18-</w:t>
      </w:r>
      <w:proofErr w:type="gramStart"/>
      <w:r>
        <w:t xml:space="preserve">19  </w:t>
      </w:r>
      <w:r>
        <w:rPr>
          <w:highlight w:val="green"/>
        </w:rPr>
        <w:t>@</w:t>
      </w:r>
      <w:proofErr w:type="gramEnd"/>
      <w:r>
        <w:rPr>
          <w:highlight w:val="green"/>
        </w:rPr>
        <w:t>FFessay@UL@Diss?</w:t>
      </w:r>
      <w:r>
        <w:t xml:space="preserve"> Peruvian social scientist </w:t>
      </w:r>
      <w:r>
        <w:rPr>
          <w:highlight w:val="magenta"/>
        </w:rPr>
        <w:t>Anibal Quijano</w:t>
      </w:r>
      <w:r>
        <w:t xml:space="preserve">’s coloniality of power, or </w:t>
      </w:r>
      <w:r>
        <w:rPr>
          <w:i/>
        </w:rPr>
        <w:t xml:space="preserve">la </w:t>
      </w:r>
      <w:proofErr w:type="spellStart"/>
      <w:r>
        <w:rPr>
          <w:i/>
        </w:rPr>
        <w:t>colonialidad</w:t>
      </w:r>
      <w:proofErr w:type="spellEnd"/>
      <w:r>
        <w:rPr>
          <w:i/>
        </w:rPr>
        <w:t xml:space="preserve"> de </w:t>
      </w:r>
      <w:proofErr w:type="spellStart"/>
      <w:r>
        <w:rPr>
          <w:i/>
        </w:rPr>
        <w:t>poder</w:t>
      </w:r>
      <w:proofErr w:type="spellEnd"/>
      <w:r>
        <w:t xml:space="preserve">, is one such explanation. … the widespread effects of Spanish colonialism in different parts of Latin America over time … </w:t>
      </w:r>
      <w:r>
        <w:rPr>
          <w:b/>
        </w:rPr>
        <w:t>The first</w:t>
      </w:r>
      <w:r>
        <w:t xml:space="preserve"> is the reclassification of the population according to a racialized, gendered, caste system that upheld the Spanish nobility as elite authorities and denigrated slaves and Indigenous people (</w:t>
      </w:r>
      <w:proofErr w:type="spellStart"/>
      <w:r>
        <w:t>indios</w:t>
      </w:r>
      <w:proofErr w:type="spellEnd"/>
      <w:r>
        <w:t xml:space="preserve">) as the least powerful class. This classification contributed to the </w:t>
      </w:r>
      <w:r>
        <w:rPr>
          <w:b/>
        </w:rPr>
        <w:t>second mechanism</w:t>
      </w:r>
      <w:r>
        <w:t xml:space="preserve">: the articulation of institutions such as churches, schools and colleges, government offices, medical offices, banks, haciendas and ejidos, and marketplaces, which reified the economic and social power of the Spanish elite while reducing the lower castes as labor at best. The organization of these institutions depended on </w:t>
      </w:r>
      <w:r>
        <w:rPr>
          <w:b/>
        </w:rPr>
        <w:t>the third mechanism</w:t>
      </w:r>
      <w:r>
        <w:t xml:space="preserve">, spatial redistribution, in which colonial authorities ravaged and de- </w:t>
      </w:r>
      <w:proofErr w:type="spellStart"/>
      <w:r>
        <w:t>stroyed</w:t>
      </w:r>
      <w:proofErr w:type="spellEnd"/>
      <w:r>
        <w:t xml:space="preserve"> Indigenous places of worship, fields, buildings, schools, markets, and villages, laying claim to Indigenous places in the name of the queen, the Christian God, or the pertinent colonial authority. In turn, </w:t>
      </w:r>
      <w:r>
        <w:rPr>
          <w:b/>
        </w:rPr>
        <w:t>spatial redistribution</w:t>
      </w:r>
      <w:r>
        <w:t xml:space="preserve">, the articulation of colonial institutions, and the classification of the Indigenous population contributed to the fourth mechanism, epistemological redistribution. </w:t>
      </w:r>
      <w:r>
        <w:rPr>
          <w:b/>
        </w:rPr>
        <w:t>Figure 1.1</w:t>
      </w:r>
      <w:r>
        <w:t xml:space="preserve"> shows how these four mechanisms were dependent on one another and, together, reified the colonial field of power. / 23 October 2012, Canadian prime minister Harper issued federal omnibus bills C-45 and C-31… / 25 </w:t>
      </w:r>
      <w:r>
        <w:rPr>
          <w:b/>
        </w:rPr>
        <w:t>First-world technologies</w:t>
      </w:r>
      <w:r>
        <w:t xml:space="preserve"> become, not a weapon, but a means of working toward decolonization. What I saw in this </w:t>
      </w:r>
      <w:proofErr w:type="gramStart"/>
      <w:r>
        <w:t>particular moment</w:t>
      </w:r>
      <w:proofErr w:type="gramEnd"/>
      <w:r>
        <w:t xml:space="preserve"> was Native women creating </w:t>
      </w:r>
      <w:r>
        <w:rPr>
          <w:b/>
        </w:rPr>
        <w:t xml:space="preserve">Indigenous </w:t>
      </w:r>
      <w:proofErr w:type="spellStart"/>
      <w:r>
        <w:rPr>
          <w:b/>
        </w:rPr>
        <w:t>cosmovisions</w:t>
      </w:r>
      <w:proofErr w:type="spellEnd"/>
      <w:r>
        <w:t xml:space="preserve"> that allow for the spiritual significance of devices. / 82 </w:t>
      </w:r>
      <w:r>
        <w:rPr>
          <w:highlight w:val="magenta"/>
        </w:rPr>
        <w:t>John Law and Bruno Latour</w:t>
      </w:r>
      <w:r>
        <w:t xml:space="preserve"> refer to the exercises of power inherent in the accretional and cumulative design of sociotechnical systems, when the system begins to generate its own normative practices and rules of logic and customary order.</w:t>
      </w:r>
      <w:r>
        <w:rPr>
          <w:vertAlign w:val="superscript"/>
        </w:rPr>
        <w:t>4</w:t>
      </w:r>
      <w:r>
        <w:t xml:space="preserve"> / 123 Yet, rather than presuming that mechanization and digitization will automatically improve Native ways of being, our goal as Native scientists and Indigenous thinkers is to push back at this false logic and understand the nature, goal, and direction of the solution that we are striving for when we do choose to apply digital technologies toward overcoming a particular obstacle in a tribal com- munity. In a sense, careful investigation of the impacts of digital systems is about articulating the boundaries around these systems: their limitations, affordances, requirements, discrete effects, social contexts, and outcomes of their uses. / </w:t>
      </w:r>
      <w:proofErr w:type="gramStart"/>
      <w:r>
        <w:t xml:space="preserve">126  </w:t>
      </w:r>
      <w:r>
        <w:rPr>
          <w:b/>
        </w:rPr>
        <w:t>Hopi</w:t>
      </w:r>
      <w:proofErr w:type="gramEnd"/>
      <w:r>
        <w:rPr>
          <w:b/>
        </w:rPr>
        <w:t xml:space="preserve"> prophecy of Spider Woman</w:t>
      </w:r>
      <w:r>
        <w:t xml:space="preserve"> weaving a web around the world …  There is a </w:t>
      </w:r>
      <w:r>
        <w:rPr>
          <w:b/>
        </w:rPr>
        <w:t>spiritual and philosophical dimension</w:t>
      </w:r>
      <w:r>
        <w:t xml:space="preserve"> to the work of deploying and designing networked systems throughout Indian Country. /127 </w:t>
      </w:r>
      <w:r>
        <w:rPr>
          <w:b/>
        </w:rPr>
        <w:t xml:space="preserve">Digital tools and techniques are not necessarily incompatible with traditional tribal ways of life. / </w:t>
      </w:r>
      <w:r>
        <w:t xml:space="preserve">133 K-Net </w:t>
      </w:r>
      <w:proofErr w:type="gramStart"/>
      <w:r>
        <w:t>project</w:t>
      </w:r>
      <w:proofErr w:type="gramEnd"/>
      <w:r>
        <w:t xml:space="preserve"> in northern Ontario. Brian Beaton, Susan O’Donnell, Michael Gurstein, Richard McMahon … To the untrained eye, aboriginals, Indians, American Indians, Native Americans, and indigenous peoples are all marginalized ethnic minorities in more perfect, modernized, technologically advancing nation-states. The temptation is to compare all Indigenous cases regardless of time and place, and worse, with disregard for diverse Indigenous geopolitical contexts and distinct philosophies, histories, languages, and spiritualities. / @</w:t>
      </w:r>
      <w:proofErr w:type="gramStart"/>
      <w:r>
        <w:t>Link:Marx</w:t>
      </w:r>
      <w:proofErr w:type="gramEnd"/>
      <w:r>
        <w:t xml:space="preserve"> </w:t>
      </w:r>
      <w:proofErr w:type="gramStart"/>
      <w:r>
        <w:t>As</w:t>
      </w:r>
      <w:proofErr w:type="gramEnd"/>
      <w:r>
        <w:t xml:space="preserve"> </w:t>
      </w:r>
      <w:proofErr w:type="spellStart"/>
      <w:r>
        <w:rPr>
          <w:highlight w:val="magenta"/>
        </w:rPr>
        <w:lastRenderedPageBreak/>
        <w:t>Subcomandante</w:t>
      </w:r>
      <w:proofErr w:type="spellEnd"/>
      <w:r>
        <w:rPr>
          <w:highlight w:val="magenta"/>
        </w:rPr>
        <w:t xml:space="preserve"> Marcos</w:t>
      </w:r>
      <w:r>
        <w:t xml:space="preserve"> writes, “</w:t>
      </w:r>
      <w:r>
        <w:rPr>
          <w:b/>
        </w:rPr>
        <w:t>The issue is not about what you write with, but the hand that dreams when it writes. And that is what the pencil is afraid of, to realize that it is not necessary</w:t>
      </w:r>
      <w:r>
        <w:t>.”</w:t>
      </w:r>
      <w:r>
        <w:rPr>
          <w:vertAlign w:val="superscript"/>
        </w:rPr>
        <w:t>12</w:t>
      </w:r>
      <w:r>
        <w:rPr>
          <w:b/>
        </w:rPr>
        <w:t xml:space="preserve"> / </w:t>
      </w:r>
      <w:r>
        <w:t>134 The gift of my people’s histories and spirituality helped me perceive a dimension that earlier studies of Native uses of ICTs failed to inscribe and that relates to the inherent sovereignty of Native peoples choosing to use ICTs and build the infrastructure for it across their sacred lands toward their own tribal goals, even when non-tribal critics, including Indigenous scholars, decry such efforts as a perpetuation of corporate colonialism, neoliberalism, technological hegemony, and other such challenging allegations.</w:t>
      </w:r>
    </w:p>
    <w:p w14:paraId="5BA89261" w14:textId="77777777" w:rsidR="00076776" w:rsidRDefault="00076776"/>
    <w:p w14:paraId="6D048667" w14:textId="77777777" w:rsidR="00076776" w:rsidRDefault="00000000">
      <w:pPr>
        <w:pStyle w:val="Heading2"/>
      </w:pPr>
      <w:r>
        <w:t>Notes</w:t>
      </w:r>
    </w:p>
    <w:p w14:paraId="61A4FE39" w14:textId="77777777" w:rsidR="00076776" w:rsidRDefault="00000000">
      <w:r>
        <w:t>@</w:t>
      </w:r>
      <w:proofErr w:type="gramStart"/>
      <w:r>
        <w:t>Diss?@</w:t>
      </w:r>
      <w:proofErr w:type="gramEnd"/>
      <w:r>
        <w:t>UL</w:t>
      </w:r>
    </w:p>
    <w:p w14:paraId="11B9C4A0" w14:textId="77777777" w:rsidR="00076776" w:rsidRDefault="00000000">
      <w:r>
        <w:t xml:space="preserve">NOTE that the bibliography for this book might be very useful, later. </w:t>
      </w:r>
    </w:p>
    <w:p w14:paraId="1EB8E187" w14:textId="77777777" w:rsidR="00076776" w:rsidRDefault="00000000">
      <w:r>
        <w:t xml:space="preserve">For example: </w:t>
      </w:r>
    </w:p>
    <w:p w14:paraId="35B0C2BF" w14:textId="77777777" w:rsidR="00076776" w:rsidRDefault="00000000">
      <w:pPr>
        <w:ind w:left="720"/>
      </w:pPr>
      <w:r>
        <w:t>Latour, Bruno. Reassembling the Social: An Introduction to Actor-Network-Theory. Oxford: Oxford University Press, 2007.</w:t>
      </w:r>
    </w:p>
    <w:p w14:paraId="592BF6E5" w14:textId="77777777" w:rsidR="00076776" w:rsidRDefault="00000000">
      <w:pPr>
        <w:ind w:left="720"/>
      </w:pPr>
      <w:r>
        <w:t>———. “Technology Is Society Made Durable.” In A Sociology of Monsters: Essays on Power, Technology, and Domination, edited by John Law, 103–31. London: Routledge, 1991.</w:t>
      </w:r>
    </w:p>
    <w:p w14:paraId="06ABA369" w14:textId="77777777" w:rsidR="00076776" w:rsidRDefault="00076776"/>
    <w:p w14:paraId="01A89C0F" w14:textId="77777777" w:rsidR="00076776" w:rsidRDefault="00000000">
      <w:r>
        <w:t>4 @DissSource</w:t>
      </w:r>
    </w:p>
    <w:p w14:paraId="3C77A5AB" w14:textId="77777777" w:rsidR="00076776" w:rsidRDefault="00000000">
      <w:r>
        <w:t xml:space="preserve">Note Leslie Marmon Silko’s 1994 novel </w:t>
      </w:r>
      <w:r>
        <w:rPr>
          <w:i/>
        </w:rPr>
        <w:t>Almanac of the Dead</w:t>
      </w:r>
      <w:r>
        <w:t>: To many Indigenous peoples of the borderlands, Almanac of the Dead is a guide, a manual for understanding how those of us separated by the legacies of colonialism would experience life in the interstices of cities, states, and nations; mass media and voicelessness; the regulated marketplace of ideas and the black market; guerrilla warfare and political persuasion.</w:t>
      </w:r>
    </w:p>
    <w:p w14:paraId="551B7021" w14:textId="77777777" w:rsidR="00076776" w:rsidRDefault="00076776"/>
    <w:p w14:paraId="18A99395" w14:textId="77777777" w:rsidR="00076776" w:rsidRDefault="00000000">
      <w:pPr>
        <w:rPr>
          <w:highlight w:val="green"/>
        </w:rPr>
      </w:pPr>
      <w:r>
        <w:rPr>
          <w:highlight w:val="green"/>
        </w:rPr>
        <w:t>14 @</w:t>
      </w:r>
      <w:proofErr w:type="gramStart"/>
      <w:r>
        <w:rPr>
          <w:highlight w:val="green"/>
        </w:rPr>
        <w:t>Diss?@</w:t>
      </w:r>
      <w:proofErr w:type="gramEnd"/>
      <w:r>
        <w:rPr>
          <w:highlight w:val="green"/>
        </w:rPr>
        <w:t>FFessay@Motherlode!</w:t>
      </w:r>
    </w:p>
    <w:p w14:paraId="3C8F7CB1" w14:textId="77777777" w:rsidR="00076776" w:rsidRDefault="00000000">
      <w:r>
        <w:t xml:space="preserve">On </w:t>
      </w:r>
      <w:r>
        <w:rPr>
          <w:b/>
        </w:rPr>
        <w:t>information</w:t>
      </w:r>
      <w:r>
        <w:t xml:space="preserve">: </w:t>
      </w:r>
    </w:p>
    <w:p w14:paraId="67AF69AA" w14:textId="77777777" w:rsidR="00076776" w:rsidRDefault="00000000">
      <w:pPr>
        <w:ind w:left="720"/>
      </w:pPr>
      <w:r>
        <w:t>Indeed, it is helpful to think of information like water. At the molecular level, it is invisible and imperceptible to the human eye, yet as beings made in large part of water, we are literally swimming in dilutions of it every day, through our breath, the daily ablutions, and cups of coffee and tea. Like water, information takes the shape of its container. The job of the interface designer is to create the container in anticipation of human desires.</w:t>
      </w:r>
    </w:p>
    <w:p w14:paraId="4F759704" w14:textId="77777777" w:rsidR="00076776" w:rsidRDefault="00000000">
      <w:r>
        <w:t xml:space="preserve">What if we take this definition of information further, to suggest that it is precisely because information operates as a conceptual space that it is, effectively, </w:t>
      </w:r>
      <w:r>
        <w:rPr>
          <w:i/>
        </w:rPr>
        <w:t>unmappable</w:t>
      </w:r>
      <w:r>
        <w:t xml:space="preserve">; however, this unmappability does not preclude the (colonial?) desire to make a “sense” of the “space” that contains and maps information’s conceptual topography, gives the fog a shape: this desire to trace the contours of the unknown information is itself a metaphor for maps. To make this conceptual map of “information” knowable, Western minds leap by analogy to the binary offerings of maps, which show either know or unknown spaces—they territorialize the seemingly empty and, through categorization’s tools, like surveys, plot-lines, longitudes and latitudes, and other syntaxes of maps, endeavour to impose what is tantamount to the fiction of the known, another conceptual space, onto the very real landscape. In the case of the Internet and systems networks, no such real landscape exists. Perhaps, this leaves a fundamental neurosis in the settler state’s psyche: knowing that this “space” can never be “mapped” as such, but it can be </w:t>
      </w:r>
      <w:r>
        <w:lastRenderedPageBreak/>
        <w:t xml:space="preserve">owned, modelled in charts and graphs, or, more precisely, claimed or colonized ontologically. For the settler psyche, schooled in </w:t>
      </w:r>
      <w:proofErr w:type="spellStart"/>
      <w:r>
        <w:t>technoliberal</w:t>
      </w:r>
      <w:proofErr w:type="spellEnd"/>
      <w:r>
        <w:t xml:space="preserve"> ideologies, this conceptual space becomes inevitably binary, something to which D alludes, here: </w:t>
      </w:r>
    </w:p>
    <w:p w14:paraId="6D2F62BF" w14:textId="77777777" w:rsidR="00076776" w:rsidRDefault="00000000">
      <w:pPr>
        <w:ind w:left="720"/>
      </w:pPr>
      <w:r>
        <w:t>If we were to reenvision the world as a series of ones and zeros, machine-readable and system-compatible, we might tend toward a view of the universe in which changes occur not as an outcome of social forces or great heroes and institutions but rather due to the algorithmic accumulation of information through interlaced networks of humans and devices. (13)</w:t>
      </w:r>
    </w:p>
    <w:p w14:paraId="4DEC219D" w14:textId="77777777" w:rsidR="00076776" w:rsidRDefault="00000000">
      <w:r>
        <w:t xml:space="preserve">Building on this, we can inquire as to the ways in which the creation of maps as a technology </w:t>
      </w:r>
      <w:proofErr w:type="gramStart"/>
      <w:r>
        <w:t>fulfill</w:t>
      </w:r>
      <w:proofErr w:type="gramEnd"/>
      <w:r>
        <w:t xml:space="preserve"> a binary impulse. If, “Like water, information circulates through human-made networks oriented to fulfill communal needs” (14), then we can explore more fully the communal impulse fulfilled for settlers when they impose the conceptual frameworks of topography, what we could call the </w:t>
      </w:r>
      <w:r>
        <w:rPr>
          <w:i/>
        </w:rPr>
        <w:t>cartographic impulse</w:t>
      </w:r>
      <w:r>
        <w:t xml:space="preserve">, onto all conceptual models of information. Perhaps this reflects, as D suggests, a desire to not only feel more oriented, spatially and ontologically, but to sustain the capitalist model in which information is the currency: “Like water, information has a value in global circuits of trade.” Conceptually, information is inseparable from the politics that create and maintain it, something to which D alludes through Ron Niezen: </w:t>
      </w:r>
    </w:p>
    <w:p w14:paraId="76D250FC" w14:textId="77777777" w:rsidR="00076776" w:rsidRDefault="00000000">
      <w:pPr>
        <w:ind w:left="720"/>
      </w:pPr>
      <w:r>
        <w:t>When Ron Niezen writes, “Indigenous revival cannot be understood without reference to the technology, power, and legitimacy of states,”</w:t>
      </w:r>
      <w:r>
        <w:rPr>
          <w:vertAlign w:val="superscript"/>
        </w:rPr>
        <w:t>21</w:t>
      </w:r>
      <w:r>
        <w:t xml:space="preserve"> we can conceptualize how colonial authorities work through systems of analog and digital devices, rules of law and customary practices, state institutions, and the flows of information that bind these together. (17)</w:t>
      </w:r>
    </w:p>
    <w:p w14:paraId="7D79C24A" w14:textId="77777777" w:rsidR="00076776" w:rsidRDefault="00076776"/>
    <w:p w14:paraId="431F7C8E" w14:textId="77777777" w:rsidR="00076776" w:rsidRDefault="00000000">
      <w:r>
        <w:t xml:space="preserve">For later? </w:t>
      </w:r>
    </w:p>
    <w:p w14:paraId="29FA2E2D" w14:textId="77777777" w:rsidR="00076776" w:rsidRDefault="00000000">
      <w:r>
        <w:t xml:space="preserve">Like water, information is measured, dammed, bought and sold, regulated, and recycled. </w:t>
      </w:r>
    </w:p>
    <w:p w14:paraId="7DCA3EF9" w14:textId="77777777" w:rsidR="00076776" w:rsidRDefault="00076776"/>
    <w:p w14:paraId="52DED35D" w14:textId="77777777" w:rsidR="00076776" w:rsidRDefault="00000000">
      <w:r>
        <w:t xml:space="preserve">On maps: 57 However, Shana Barehand Green, former Federal Communications Commission employee and tribal telecommunications taxation expert, argues that while it looks like many parts of Indian Country are represented on the maps, what the maps really show are the specifications for the hardware, as reported by the telecommunications companies, were the hardware to function under optimal operating conditions. This means that the maps do not account for the limitations imposed by physical geography (wireless and satellite services are based for the most part </w:t>
      </w:r>
      <w:proofErr w:type="gramStart"/>
      <w:r>
        <w:t>on line</w:t>
      </w:r>
      <w:proofErr w:type="gramEnd"/>
      <w:r>
        <w:t xml:space="preserve">-of-sight technologies), inclement weather, or regional monopolies fixing rates and blocking competition. … When we first installed a wireless modem, we discovered that the signal would not penetrate the thick adobe walls of the family home…. </w:t>
      </w:r>
    </w:p>
    <w:p w14:paraId="495F68D5" w14:textId="77777777" w:rsidR="00076776" w:rsidRDefault="00076776"/>
    <w:p w14:paraId="6C45893F" w14:textId="77777777" w:rsidR="00076776" w:rsidRDefault="00000000">
      <w:r>
        <w:t>@DissSource</w:t>
      </w:r>
    </w:p>
    <w:p w14:paraId="42AF15DF" w14:textId="77777777" w:rsidR="00076776" w:rsidRDefault="00000000">
      <w:r>
        <w:t>Deloria, Vine, Jr. “If You Think about It, You Will See That It Is True.” In Spirit and Reason: A</w:t>
      </w:r>
    </w:p>
    <w:p w14:paraId="51E6D9B6" w14:textId="77777777" w:rsidR="00076776" w:rsidRDefault="00000000">
      <w:r>
        <w:t>Vine Deloria, Jr., Reader, 40–62. Boulder, Colo.: Fulcrum Press, 1999.</w:t>
      </w:r>
    </w:p>
    <w:p w14:paraId="203B02D2" w14:textId="77777777" w:rsidR="00076776" w:rsidRDefault="00000000">
      <w:r>
        <w:t>———. “The Right to Know.” Paper presented at the US Department of the Interior, Office of</w:t>
      </w:r>
    </w:p>
    <w:p w14:paraId="12E7F4C1" w14:textId="77777777" w:rsidR="00076776" w:rsidRDefault="00000000">
      <w:r>
        <w:t>Library and Information Services, Washington, D.C., 1978.</w:t>
      </w:r>
    </w:p>
    <w:p w14:paraId="67A54802" w14:textId="77777777" w:rsidR="00076776" w:rsidRDefault="00000000">
      <w:r>
        <w:t>———. “Traditional Technology.” In Spirit and Reason: A Vine Deloria, Jr., Reader, 129–36.</w:t>
      </w:r>
    </w:p>
    <w:p w14:paraId="4AC861E6" w14:textId="77777777" w:rsidR="00076776" w:rsidRDefault="00000000">
      <w:r>
        <w:t>Boulder, Colo.: Fulcrum Press, 1999.</w:t>
      </w:r>
    </w:p>
    <w:p w14:paraId="046080FC" w14:textId="77777777" w:rsidR="00076776" w:rsidRDefault="00000000">
      <w:pPr>
        <w:pStyle w:val="Heading1"/>
      </w:pPr>
      <w:bookmarkStart w:id="17" w:name="_heading=h.44sinio" w:colFirst="0" w:colLast="0"/>
      <w:bookmarkEnd w:id="17"/>
      <w:r>
        <w:t xml:space="preserve">*(2017) Rifkin, </w:t>
      </w:r>
      <w:r>
        <w:rPr>
          <w:i/>
        </w:rPr>
        <w:t>Beyond Settler Time</w:t>
      </w:r>
    </w:p>
    <w:p w14:paraId="05410184"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29E3E0BF" w14:textId="77777777" w:rsidR="00076776" w:rsidRDefault="00000000">
      <w:pPr>
        <w:pStyle w:val="Heading2"/>
      </w:pPr>
      <w:r>
        <w:lastRenderedPageBreak/>
        <w:t>Abstract</w:t>
      </w:r>
    </w:p>
    <w:p w14:paraId="2631D748"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 xml:space="preserve">All things temporal, settler, and Indigenous, with explorations to discover correlations and differences in multiple understandings of temporalities, past, present, and future. </w:t>
      </w:r>
    </w:p>
    <w:p w14:paraId="611C9B1A"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21772C42" w14:textId="77777777" w:rsidR="00076776" w:rsidRDefault="00000000">
      <w:pPr>
        <w:pStyle w:val="Heading2"/>
      </w:pPr>
      <w:r>
        <w:t>Key words</w:t>
      </w:r>
    </w:p>
    <w:p w14:paraId="73E9A475"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roofErr w:type="spellStart"/>
      <w:r>
        <w:rPr>
          <w:color w:val="000000"/>
          <w:highlight w:val="red"/>
        </w:rPr>
        <w:t>timescapes</w:t>
      </w:r>
      <w:proofErr w:type="spellEnd"/>
      <w:r>
        <w:rPr>
          <w:color w:val="000000"/>
        </w:rPr>
        <w:t xml:space="preserve"> (25), temporal sovereignty (26), presentness, land questions, Indigenous-settler relations, phenomenology, science, narrativity </w:t>
      </w:r>
    </w:p>
    <w:p w14:paraId="65571D74"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5A11DC35" w14:textId="77777777" w:rsidR="00076776" w:rsidRDefault="00000000">
      <w:pPr>
        <w:pStyle w:val="Heading2"/>
      </w:pPr>
      <w:r>
        <w:t>Essential quote</w:t>
      </w:r>
    </w:p>
    <w:p w14:paraId="7A39BAC3"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25: Cordova suggests, “Each of us occupies a world that is made by our predecessors. We are given ‘reality’; we do not discover it,” further indicating that “there are no individual realities, only communal ones” and that “we reinforce our communal sense of reality</w:t>
      </w:r>
      <w:proofErr w:type="gramStart"/>
      <w:r>
        <w:rPr>
          <w:color w:val="000000"/>
        </w:rPr>
        <w:t>. . . .</w:t>
      </w:r>
      <w:proofErr w:type="gramEnd"/>
      <w:r>
        <w:rPr>
          <w:color w:val="000000"/>
        </w:rPr>
        <w:t xml:space="preserve"> We act on it. In it.” She later observes that “when two people from different cultures come together,” “they find it difficult to communicate with one another—their frames of reference do not meet.”</w:t>
      </w:r>
      <w:r>
        <w:rPr>
          <w:color w:val="000000"/>
          <w:vertAlign w:val="superscript"/>
        </w:rPr>
        <w:t>81</w:t>
      </w:r>
    </w:p>
    <w:p w14:paraId="13BEBF0F"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17B44B70" w14:textId="77777777" w:rsidR="00076776" w:rsidRDefault="00000000">
      <w:pPr>
        <w:pStyle w:val="Heading2"/>
      </w:pPr>
      <w:r>
        <w:t>Terms</w:t>
      </w:r>
    </w:p>
    <w:p w14:paraId="7ABEC8DF"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2: </w:t>
      </w:r>
      <w:r>
        <w:rPr>
          <w:b/>
          <w:color w:val="000000"/>
        </w:rPr>
        <w:t>temporalities</w:t>
      </w:r>
      <w:r>
        <w:rPr>
          <w:color w:val="000000"/>
        </w:rPr>
        <w:t>: Rather than approaching time as an abstract, homogeneous measure of universal movement along a singular axis, we can think of it as plural, less as a temporality than temporalities. From this perspective, there is no singular unfolding of time, but, instead, varied temporal formations that have their own rhythms—patterns of consistency and transformation that emerge immanently out of the multifaceted and shifting sets of relationships that constitute those formations and out of the interactions among those formations.</w:t>
      </w:r>
    </w:p>
    <w:p w14:paraId="042D1444"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color w:val="000000"/>
        </w:rPr>
        <w:t xml:space="preserve">2: </w:t>
      </w:r>
      <w:r>
        <w:rPr>
          <w:b/>
          <w:color w:val="000000"/>
          <w:highlight w:val="green"/>
        </w:rPr>
        <w:t>temporal sovereignty</w:t>
      </w:r>
      <w:r>
        <w:rPr>
          <w:color w:val="000000"/>
        </w:rPr>
        <w:t xml:space="preserve">: U.S. settler colonialism produces its own temporal formation, with its own particular ways of apprehending time, and the state’s policies, mappings, and imperatives generate the frame of reference …. More than just affecting ideologies or discourses of time, that network of institutionalized authority over “domestic” territory also powerfully shapes the possibilities for interaction, development, and regularity within it. </w:t>
      </w:r>
      <w:r>
        <w:rPr>
          <w:b/>
          <w:color w:val="000000"/>
        </w:rPr>
        <w:t>Such imposition can be understood as the denial of Indigenous temporal sovereignty, in the sense that one vision or way of experiencing time is cast as the only temporal formation—as the baseline for the unfolding of time itself.</w:t>
      </w:r>
    </w:p>
    <w:p w14:paraId="506F34EA"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2: </w:t>
      </w:r>
      <w:r>
        <w:rPr>
          <w:b/>
          <w:color w:val="000000"/>
        </w:rPr>
        <w:t>temporal orientation</w:t>
      </w:r>
      <w:r>
        <w:rPr>
          <w:color w:val="000000"/>
        </w:rPr>
        <w:t xml:space="preserve">: … the ways that time can be regarded less as a container that holds events than as potentially divergent processes of becoming. Being temporally oriented suggests that one’s experiences, sensations, and possibilities for action are shaped by the existing inclinations, itineraries, and networks in which one is immersed, turning toward some things and away from others. More than a question of relations in space, orientation involves reiterated and nonconscious tendencies, suggesting ways of inhabiting time that shape how the past moves toward the present and future. … Being oriented, having a feeling of place and self in relation to other places and selves as well as a feeling of where one is going and the pace at which one is heading there, entails moving </w:t>
      </w:r>
      <w:proofErr w:type="gramStart"/>
      <w:r>
        <w:rPr>
          <w:color w:val="000000"/>
        </w:rPr>
        <w:t>in particular directions</w:t>
      </w:r>
      <w:proofErr w:type="gramEnd"/>
      <w:r>
        <w:rPr>
          <w:color w:val="000000"/>
        </w:rPr>
        <w:t xml:space="preserve"> in line with extant patterns. [3] This persistent (and largely unwilled) regeneration of continuity not only hap- pens “in time” but is the substance, feel, and force of time unfolding.</w:t>
      </w:r>
      <w:r>
        <w:rPr>
          <w:color w:val="000000"/>
          <w:vertAlign w:val="superscript"/>
        </w:rPr>
        <w:t>4</w:t>
      </w:r>
      <w:r>
        <w:rPr>
          <w:color w:val="000000"/>
        </w:rPr>
        <w:t xml:space="preserve"> [Footnote: On acceleration as a mode of colonization, see Collins, Global Palestine, 79–108.]</w:t>
      </w:r>
    </w:p>
    <w:p w14:paraId="554DE865"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5: </w:t>
      </w:r>
      <w:r>
        <w:rPr>
          <w:b/>
          <w:color w:val="000000"/>
        </w:rPr>
        <w:t>colonial time</w:t>
      </w:r>
      <w:r>
        <w:rPr>
          <w:color w:val="000000"/>
        </w:rPr>
        <w:t xml:space="preserve">: … what Kevin Bruyneel has referred to as “colonial time,” in which “temporal boundaries” are constructed between “an ‘advancing’ people and a ‘static’ people, locating the </w:t>
      </w:r>
      <w:r>
        <w:rPr>
          <w:color w:val="000000"/>
        </w:rPr>
        <w:lastRenderedPageBreak/>
        <w:t>latter out of time,” and, within this dynamic, “increasingly . . . tribal sovereignty [appears] as a political expression that is out of (another) time, and therefore a threat to contemporary American political life and political space.”</w:t>
      </w:r>
      <w:r>
        <w:rPr>
          <w:color w:val="000000"/>
          <w:vertAlign w:val="superscript"/>
        </w:rPr>
        <w:t>12</w:t>
      </w:r>
      <w:r>
        <w:rPr>
          <w:color w:val="000000"/>
        </w:rPr>
        <w:t xml:space="preserve"> The temporal trick whereby Indians are edited out of the current moment—or cast as inherently anachronistic—emerges out of the refusal to accept the (geo)political implications of persistent Indigenous becoming, the ways that the presentness of Native peoples challenges settler claims to possession now and for the future.</w:t>
      </w:r>
    </w:p>
    <w:p w14:paraId="28D96068"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6: </w:t>
      </w:r>
      <w:r>
        <w:rPr>
          <w:b/>
          <w:color w:val="000000"/>
        </w:rPr>
        <w:t>authentic</w:t>
      </w:r>
      <w:r>
        <w:rPr>
          <w:color w:val="000000"/>
        </w:rPr>
        <w:t>: In Native Acts, Joanne Barker argues, “Native traditions have been fixed in an authentic past and then used as the measure of a cultural-as-racial authenticity in the present … To be authentic means to preserve forms of tradition that emanate from the past in pristine ways; that performance of stasis is the condition of possibility for being accorded status as proper Indians. … being recognized as Indian means staging a version of pastness that disavows the “complexities” of Native life, including “the historical realities of accident, succession, alienation, passion, personal conflict, dissension, and disparity.”</w:t>
      </w:r>
      <w:r>
        <w:rPr>
          <w:color w:val="000000"/>
          <w:vertAlign w:val="superscript"/>
        </w:rPr>
        <w:t>15</w:t>
      </w:r>
    </w:p>
    <w:p w14:paraId="365436F8"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6-7: </w:t>
      </w:r>
      <w:r>
        <w:rPr>
          <w:b/>
          <w:color w:val="000000"/>
        </w:rPr>
        <w:t>history</w:t>
      </w:r>
      <w:r>
        <w:rPr>
          <w:color w:val="000000"/>
        </w:rPr>
        <w:t>: … the narration of the connections among the past, present, and future … Viewing Natives as being historical, in the sense of acknowledging Native existence in and change over time, includes addressing the effects of settler colonialism on Native lifeways, choices, and modes of collective self-expression and organization.</w:t>
      </w:r>
    </w:p>
    <w:p w14:paraId="57CDA2FB"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highlight w:val="green"/>
        </w:rPr>
      </w:pPr>
      <w:r>
        <w:rPr>
          <w:color w:val="000000"/>
          <w:highlight w:val="green"/>
        </w:rPr>
        <w:t xml:space="preserve">7: </w:t>
      </w:r>
      <w:r>
        <w:rPr>
          <w:b/>
          <w:color w:val="000000"/>
          <w:highlight w:val="green"/>
        </w:rPr>
        <w:t xml:space="preserve">simulacrum of </w:t>
      </w:r>
      <w:r>
        <w:rPr>
          <w:color w:val="000000"/>
          <w:highlight w:val="green"/>
        </w:rPr>
        <w:t>pastness [@FFessay]: This insistence on synchrony, interaction, and complication in unfolding events works against the denial of Native persistence as well as the attempt to freeze Indigenous persons and peoples into a simulacrum of pastness, a fantasized construction of Indian realness cast as immanently tied to a bygone era.</w:t>
      </w:r>
    </w:p>
    <w:p w14:paraId="06F25DB0"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8-9: </w:t>
      </w:r>
      <w:r>
        <w:rPr>
          <w:b/>
          <w:color w:val="000000"/>
        </w:rPr>
        <w:t>modernity</w:t>
      </w:r>
      <w:r>
        <w:rPr>
          <w:color w:val="000000"/>
        </w:rPr>
        <w:t xml:space="preserve">: The notion of the modern here suggests a certain way of inhabiting and experiencing time, one that is not reducible to engaging with forms of non-native cultural production and commerce per se or to adopting, appropriating, or adapting </w:t>
      </w:r>
      <w:proofErr w:type="gramStart"/>
      <w:r>
        <w:rPr>
          <w:color w:val="000000"/>
        </w:rPr>
        <w:t>particular once-alien</w:t>
      </w:r>
      <w:proofErr w:type="gramEnd"/>
      <w:r>
        <w:rPr>
          <w:color w:val="000000"/>
        </w:rPr>
        <w:t xml:space="preserve"> practices, patterns, objects, or beliefs. …  The emergence and recognition of modernity as a specific sort of temporal experience appears intimately connected to the decimation of Native peoples, but more than simply providing a period marker (with modern serving as a name for what comes in the wake of allotment, for example), the use of modernity as a means of describing and understanding forms of presentness in which both Natives and non-natives were enmeshed (a “world” inhabited “together”) seems to be shaped by forms of settler extension and extraction that are taken as fundamentally altering the conditions of being-in-time for Native peoples. … O’Brien suggests that “</w:t>
      </w:r>
      <w:r>
        <w:rPr>
          <w:b/>
          <w:color w:val="000000"/>
        </w:rPr>
        <w:t>non-Indians actively produced their own modernity by denying modernity to Indians</w:t>
      </w:r>
      <w:r>
        <w:rPr>
          <w:color w:val="000000"/>
        </w:rPr>
        <w:t xml:space="preserve"> …” [10] </w:t>
      </w:r>
      <w:r>
        <w:rPr>
          <w:color w:val="000000"/>
          <w:highlight w:val="magenta"/>
        </w:rPr>
        <w:t>Dilip Parameshwar Gaonkar</w:t>
      </w:r>
      <w:r>
        <w:rPr>
          <w:color w:val="000000"/>
        </w:rPr>
        <w:t xml:space="preserve"> illustrates this dynamic. He states, “Born in and of the West some centuries ago under relatively specific sociohistorical conditions, modernity is now everywhere,” </w:t>
      </w:r>
      <w:r>
        <w:rPr>
          <w:b/>
          <w:color w:val="000000"/>
        </w:rPr>
        <w:t>and its qualities entail the creation and extension of capitalism</w:t>
      </w:r>
      <w:r>
        <w:rPr>
          <w:color w:val="000000"/>
        </w:rPr>
        <w:t xml:space="preserve">, the self-reflexive rejection of tradition as such in potentially freeing ways, and a struggle around forms of mechanized standardization. “Non-Western people,” then, have “hybrid modernities,” which have arrived as “modernity has travelled from the West to the rest of the world,” and such </w:t>
      </w:r>
      <w:proofErr w:type="spellStart"/>
      <w:r>
        <w:rPr>
          <w:color w:val="000000"/>
        </w:rPr>
        <w:t>hybridities</w:t>
      </w:r>
      <w:proofErr w:type="spellEnd"/>
      <w:r>
        <w:rPr>
          <w:color w:val="000000"/>
        </w:rPr>
        <w:t xml:space="preserve"> enable one to “think with a difference” about modernity writ large.</w:t>
      </w:r>
      <w:r>
        <w:rPr>
          <w:color w:val="000000"/>
          <w:vertAlign w:val="superscript"/>
        </w:rPr>
        <w:t xml:space="preserve">27 </w:t>
      </w:r>
      <w:r>
        <w:rPr>
          <w:color w:val="000000"/>
        </w:rPr>
        <w:t xml:space="preserve">[13] Certain “ways of living” count as modern and, as such, are inherently disjunct from what transpired previously—in </w:t>
      </w:r>
      <w:r>
        <w:rPr>
          <w:b/>
          <w:color w:val="000000"/>
        </w:rPr>
        <w:t>“traditional” time</w:t>
      </w:r>
      <w:r>
        <w:rPr>
          <w:color w:val="000000"/>
        </w:rPr>
        <w:t>. …  To live “in modern time” is to be on the other side of the break, in a time and “world” shared with everyone else, and in this way modern functions less as simply descriptive (later in chronological time) than as normative, a right to inclusion in a certain kind of shared time.</w:t>
      </w:r>
    </w:p>
    <w:p w14:paraId="1B00EEFF"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12: </w:t>
      </w:r>
      <w:r>
        <w:rPr>
          <w:b/>
          <w:color w:val="000000"/>
        </w:rPr>
        <w:t>x-mark</w:t>
      </w:r>
      <w:r>
        <w:rPr>
          <w:color w:val="000000"/>
        </w:rPr>
        <w:t xml:space="preserve">: In </w:t>
      </w:r>
      <w:r>
        <w:rPr>
          <w:i/>
          <w:color w:val="000000"/>
        </w:rPr>
        <w:t>X-Marks</w:t>
      </w:r>
      <w:r>
        <w:rPr>
          <w:color w:val="000000"/>
        </w:rPr>
        <w:t xml:space="preserve"> </w:t>
      </w:r>
      <w:r>
        <w:rPr>
          <w:color w:val="000000"/>
          <w:highlight w:val="magenta"/>
        </w:rPr>
        <w:t>Scott Richard Lyons</w:t>
      </w:r>
      <w:r>
        <w:rPr>
          <w:color w:val="000000"/>
        </w:rPr>
        <w:t xml:space="preserve"> offers a powerful account of Native being- in-time that illustrates this problem. For him, the x-mark, which literally refers to a treaty signature, </w:t>
      </w:r>
      <w:r>
        <w:rPr>
          <w:color w:val="000000"/>
        </w:rPr>
        <w:lastRenderedPageBreak/>
        <w:t>“symbolize[s] Native assent to things (concepts, policies, technologies, ideas) that, while not necessarily traditional in origin, can sometimes turn out all right and occasionally even good.”</w:t>
      </w:r>
    </w:p>
    <w:p w14:paraId="0DDD801C"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14: </w:t>
      </w:r>
      <w:r>
        <w:rPr>
          <w:b/>
          <w:color w:val="000000"/>
        </w:rPr>
        <w:t>recognition and refusal</w:t>
      </w:r>
      <w:r>
        <w:rPr>
          <w:color w:val="000000"/>
        </w:rPr>
        <w:t>: In Mohawk Interruptus Audra Simpson argues, “There is a political alternative to ‘recognition,’ the much sought-after and presumed ‘good’ of multicultural politics. This alternative is ‘refusal.’ “ Such “refusal” entails a rejection of being translated as “different” within the dynamics of settler governance, being seen as possessing a “culture that is defined by others and will be accorded a protected space of legal recognition if your group evidences that ‘difference’ in terms that are sufficient to the settlers’ legal eye,” with Simpson further insisting that such transposition of indigeneity into multicultural difference “is politically untenable and thus normatively should be refused.”39 … the idea of refusing recognition is less about being unimplicated in the choices, affects, policies, imaginaries, and brutalities of non-natives than about insisting that Indigenous peoples have an existence not a priori tethered to settler norms and frames.40</w:t>
      </w:r>
    </w:p>
    <w:p w14:paraId="058872FD"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highlight w:val="green"/>
        </w:rPr>
        <w:t>16</w:t>
      </w:r>
      <w:r>
        <w:rPr>
          <w:b/>
          <w:color w:val="000000"/>
          <w:highlight w:val="green"/>
        </w:rPr>
        <w:t>: temporal multiplicity</w:t>
      </w:r>
      <w:r>
        <w:rPr>
          <w:color w:val="000000"/>
        </w:rPr>
        <w:t xml:space="preserve">: [@FFessay@IKSG] “If the expression ‘Indian time’ means anything, it should signify this history of temporal multiplicity.”45 [Lyons, </w:t>
      </w:r>
      <w:r>
        <w:rPr>
          <w:i/>
          <w:color w:val="000000"/>
        </w:rPr>
        <w:t>X-Marks</w:t>
      </w:r>
      <w:r>
        <w:rPr>
          <w:color w:val="000000"/>
        </w:rPr>
        <w:t>, 13.] … might mean the copresence of various stages of being and becoming modern existing side by side … the coexistence of temporal formations that cannot be assessed against a presumptively modern present—a singular background for a necessarily shared history. // What possibilities are there for temporal multiplicity under the conditions of settler dominance?</w:t>
      </w:r>
    </w:p>
    <w:p w14:paraId="5EB00BF4"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18: </w:t>
      </w:r>
      <w:r>
        <w:rPr>
          <w:b/>
          <w:color w:val="000000"/>
        </w:rPr>
        <w:t>intersubjective time</w:t>
      </w:r>
      <w:r>
        <w:rPr>
          <w:color w:val="000000"/>
        </w:rPr>
        <w:t>: Johannes Fabian argues, “The very notion of [the] cultural construction [of time] . . . implies that cultural encoding works on some precultural, i.e., ‘natural’ or ‘real’ experience of Time.”</w:t>
      </w:r>
      <w:r>
        <w:rPr>
          <w:color w:val="000000"/>
          <w:vertAlign w:val="superscript"/>
        </w:rPr>
        <w:t>54</w:t>
      </w:r>
      <w:r>
        <w:rPr>
          <w:color w:val="000000"/>
        </w:rPr>
        <w:t xml:space="preserve"> Insisting on the shared “intersubjective time” of the present works to avoid casting some people(s)—</w:t>
      </w:r>
      <w:proofErr w:type="spellStart"/>
      <w:r>
        <w:rPr>
          <w:color w:val="000000"/>
        </w:rPr>
        <w:t>nonwhite</w:t>
      </w:r>
      <w:proofErr w:type="spellEnd"/>
      <w:r>
        <w:rPr>
          <w:color w:val="000000"/>
        </w:rPr>
        <w:t>, non-Western—as residual or anachronistic as well as to highlight the role of forms of contemporary force (like colonialism) in shaping extant relations.</w:t>
      </w:r>
      <w:r>
        <w:rPr>
          <w:color w:val="000000"/>
          <w:vertAlign w:val="superscript"/>
        </w:rPr>
        <w:t>55</w:t>
      </w:r>
    </w:p>
    <w:p w14:paraId="22C78AC0"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19: </w:t>
      </w:r>
      <w:r>
        <w:rPr>
          <w:b/>
          <w:color w:val="000000"/>
        </w:rPr>
        <w:t>“natural” time</w:t>
      </w:r>
      <w:r>
        <w:rPr>
          <w:color w:val="000000"/>
        </w:rPr>
        <w:t>: “Natural” time appears as if it were a singular, neutral medium into which to transpose varied experiences of becoming, such that they all can be measured and related through reference to an underlying, “real” continuity—a linear, integrated, universal unfolding.</w:t>
      </w:r>
    </w:p>
    <w:p w14:paraId="5C22ABEF"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20: </w:t>
      </w:r>
      <w:r>
        <w:rPr>
          <w:b/>
          <w:color w:val="000000"/>
        </w:rPr>
        <w:t>frames of reference</w:t>
      </w:r>
      <w:r>
        <w:rPr>
          <w:color w:val="000000"/>
        </w:rPr>
        <w:t xml:space="preserve"> and </w:t>
      </w:r>
      <w:r>
        <w:rPr>
          <w:b/>
          <w:color w:val="000000"/>
        </w:rPr>
        <w:t>inertial frames of reference</w:t>
      </w:r>
      <w:r>
        <w:rPr>
          <w:color w:val="000000"/>
        </w:rPr>
        <w:t xml:space="preserve">: The concept of frames of reference provides a way of breaking up this presumed timeline by challenging the possibility of definitively determining simultaneity while still holding onto the potential for thinking about collective experiences of time— temporal formations.61 Within </w:t>
      </w:r>
      <w:r>
        <w:rPr>
          <w:color w:val="000000"/>
          <w:highlight w:val="magenta"/>
        </w:rPr>
        <w:t>Einsteinian</w:t>
      </w:r>
      <w:r>
        <w:rPr>
          <w:color w:val="000000"/>
        </w:rPr>
        <w:t xml:space="preserve"> relativity, simultaneity depends on one’s perspective based on one’s frame of reference.62 … within Newtonian conceptions of absolute space and time there is a “universal background of a single, constantly flowing river of time,” but within Einstein’s theory of special relativity (originally published in 1905) “there was no place for such a ‘universally audible tick-tock’ that we can call time. . . . Time flows at different rates for one clock-system in motion with respect to another: two events simultaneous for a clock observer at rest are not simultaneous for one in motion.” … An </w:t>
      </w:r>
      <w:r>
        <w:rPr>
          <w:b/>
          <w:color w:val="000000"/>
        </w:rPr>
        <w:t>inertial frame of reference</w:t>
      </w:r>
      <w:r>
        <w:rPr>
          <w:color w:val="000000"/>
        </w:rPr>
        <w:t xml:space="preserve"> refers to objects moving in uniform motion with respect to each other. </w:t>
      </w:r>
    </w:p>
    <w:p w14:paraId="392AD4E7"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21: </w:t>
      </w:r>
      <w:r>
        <w:rPr>
          <w:b/>
          <w:color w:val="000000"/>
        </w:rPr>
        <w:t>time</w:t>
      </w:r>
      <w:r>
        <w:rPr>
          <w:color w:val="000000"/>
        </w:rPr>
        <w:t xml:space="preserve">: Within relativity, time refers to the regimented regularity of ticking clocks. As N. </w:t>
      </w:r>
      <w:r>
        <w:rPr>
          <w:color w:val="000000"/>
          <w:highlight w:val="magenta"/>
        </w:rPr>
        <w:t>David Mermin</w:t>
      </w:r>
      <w:r>
        <w:rPr>
          <w:color w:val="000000"/>
        </w:rPr>
        <w:t xml:space="preserve"> explains, “While it is commonly believed that there is something called time that is measured by clocks, one of the great lessons of relativity is that the concept of time is nothing more than a convenient, though potentially treacherous, device for summarizing compactly all the relationships holding between different clocks.”67 In this way, time is, in </w:t>
      </w:r>
      <w:r>
        <w:rPr>
          <w:color w:val="000000"/>
          <w:highlight w:val="magenta"/>
        </w:rPr>
        <w:t>West-Pavlov</w:t>
      </w:r>
      <w:r>
        <w:rPr>
          <w:color w:val="000000"/>
        </w:rPr>
        <w:t xml:space="preserve">’s terms quoted earlier, an external “measuring stick” separate from the contents and processes </w:t>
      </w:r>
      <w:r>
        <w:rPr>
          <w:color w:val="000000"/>
        </w:rPr>
        <w:lastRenderedPageBreak/>
        <w:t xml:space="preserve">within any given inertial frame of reference. [22] … time is defined as the ticking of a clock, a mechanistic process of dividing temporality into successive, homogeneous units. As against this uniformity of division, </w:t>
      </w:r>
      <w:r>
        <w:rPr>
          <w:color w:val="000000"/>
          <w:highlight w:val="magenta"/>
        </w:rPr>
        <w:t>Bergson</w:t>
      </w:r>
      <w:r>
        <w:rPr>
          <w:color w:val="000000"/>
        </w:rPr>
        <w:t xml:space="preserve"> presents duration as the transition among qualitatively differentiable sensations such that they permeate each other in ways that defy enumeration.</w:t>
      </w:r>
    </w:p>
    <w:p w14:paraId="3B367D08"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22</w:t>
      </w:r>
      <w:r>
        <w:rPr>
          <w:b/>
          <w:color w:val="000000"/>
        </w:rPr>
        <w:t>: identical residuum</w:t>
      </w:r>
      <w:r>
        <w:rPr>
          <w:color w:val="000000"/>
        </w:rPr>
        <w:t xml:space="preserve">: In </w:t>
      </w:r>
      <w:r>
        <w:rPr>
          <w:i/>
          <w:color w:val="000000"/>
        </w:rPr>
        <w:t>Time and Free Will</w:t>
      </w:r>
      <w:r>
        <w:rPr>
          <w:color w:val="000000"/>
        </w:rPr>
        <w:t xml:space="preserve"> [Bergson] argues, “It seems . . . that two different sensations cannot be said to be equal unless some identical residuum remains after the elimination of their qualitative difference”; “we may conclude that </w:t>
      </w:r>
      <w:r>
        <w:rPr>
          <w:b/>
          <w:color w:val="000000"/>
        </w:rPr>
        <w:t>the idea of number</w:t>
      </w:r>
      <w:r>
        <w:rPr>
          <w:color w:val="000000"/>
        </w:rPr>
        <w:t xml:space="preserve"> implies the simple intuition of a multiplicity of parts or units, which are absolutely alike.” Rather than seeking to divide time into discrete, homogeneous units, Bergson conceptualizes it as “a continuous or qualitative multiplicity with no resemblance to number.”71 </w:t>
      </w:r>
    </w:p>
    <w:p w14:paraId="346770F3"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pPr>
      <w:r>
        <w:rPr>
          <w:color w:val="000000"/>
          <w:highlight w:val="green"/>
        </w:rPr>
        <w:t>@FFessay: the idea of “number” could transpose well into characterizations of “maps” and “place.”</w:t>
      </w:r>
      <w:r>
        <w:rPr>
          <w:color w:val="000000"/>
        </w:rPr>
        <w:t xml:space="preserve"> </w:t>
      </w:r>
    </w:p>
    <w:p w14:paraId="7F64FA55" w14:textId="77777777" w:rsidR="00076776" w:rsidRDefault="00000000">
      <w:r>
        <w:rPr>
          <w:color w:val="000000"/>
        </w:rPr>
        <w:t xml:space="preserve">25: </w:t>
      </w:r>
      <w:r>
        <w:rPr>
          <w:b/>
          <w:highlight w:val="green"/>
        </w:rPr>
        <w:t>mutual frame of reference</w:t>
      </w:r>
      <w:r>
        <w:t>: Rather than engaging directly in a mutual and self-evident now, relations across temporal formations would entail, in Chakrabarty’s formulation, “translations that do not take a universal middle term for granted,” including the putative physical givenness of the present.82 Each collective frame of reference might be understood as having its own forms of continuity, flow, trajectory—processes of becoming—that cannot be segmented into slices of time (in Bergson’s terms “simultaneities”) so as to be made commensurate with moments in other frames of reference (such as in settler- endorsed forms of historicism). … [29] In this way forms of perception, and experiences of duration, indicate not just generic human sensory capacities but socially mediated formations of becoming that develop and inculcate their own ways of experiencing time—what I have been characterizing as frames of reference.</w:t>
      </w:r>
      <w:r>
        <w:rPr>
          <w:vertAlign w:val="superscript"/>
        </w:rPr>
        <w:t>94</w:t>
      </w:r>
    </w:p>
    <w:p w14:paraId="5FE489D6" w14:textId="77777777" w:rsidR="00076776" w:rsidRDefault="00000000">
      <w:r>
        <w:rPr>
          <w:color w:val="000000"/>
        </w:rPr>
        <w:t xml:space="preserve">27-28: </w:t>
      </w:r>
      <w:r>
        <w:rPr>
          <w:b/>
          <w:color w:val="000000"/>
        </w:rPr>
        <w:t>momentum of existence</w:t>
      </w:r>
      <w:r>
        <w:rPr>
          <w:color w:val="000000"/>
        </w:rPr>
        <w:t>: [</w:t>
      </w:r>
      <w:r>
        <w:rPr>
          <w:i/>
        </w:rPr>
        <w:t>Phenomenology of Perception</w:t>
      </w:r>
      <w:r>
        <w:t xml:space="preserve">, Maurice </w:t>
      </w:r>
      <w:r>
        <w:rPr>
          <w:highlight w:val="magenta"/>
        </w:rPr>
        <w:t>Merleau-Ponty</w:t>
      </w:r>
      <w:r>
        <w:t>] … perception connects a person to his or her environment, operating not as a separate consciousness or screen distinct from the actual but as an encompassing capacity for relation influenced by existing conditions and circumstances that are themselves changing—what Merleau-Ponty describes as “the momentum of existence.” That process of “reckon[</w:t>
      </w:r>
      <w:proofErr w:type="spellStart"/>
      <w:r>
        <w:t>ing</w:t>
      </w:r>
      <w:proofErr w:type="spellEnd"/>
      <w:r>
        <w:t xml:space="preserve">] with an environment,” engaging it as a “field of possibility,” further involves drawing from past encounters </w:t>
      </w:r>
      <w:proofErr w:type="gramStart"/>
      <w:r>
        <w:t>in order to</w:t>
      </w:r>
      <w:proofErr w:type="gramEnd"/>
      <w:r>
        <w:t xml:space="preserve"> make sense of present experience.</w:t>
      </w:r>
    </w:p>
    <w:p w14:paraId="5D88B36D" w14:textId="77777777" w:rsidR="00076776" w:rsidRDefault="00000000">
      <w:r>
        <w:rPr>
          <w:color w:val="000000"/>
        </w:rPr>
        <w:t xml:space="preserve">28: </w:t>
      </w:r>
      <w:r>
        <w:rPr>
          <w:b/>
        </w:rPr>
        <w:t>embodied hermeneutics</w:t>
      </w:r>
      <w:r>
        <w:t>: Rather, coming into a place means inserting that lived history into the present,” and [Dylan Trigg] later refers to such accretions and projections of sensation as an “embodied hermeneutics.”</w:t>
      </w:r>
      <w:r>
        <w:rPr>
          <w:vertAlign w:val="superscript"/>
        </w:rPr>
        <w:t>92</w:t>
      </w:r>
      <w:r>
        <w:t xml:space="preserve"> The process of contextualizing, or orienting, new sensations within an already ac- </w:t>
      </w:r>
      <w:proofErr w:type="spellStart"/>
      <w:r>
        <w:t>tive</w:t>
      </w:r>
      <w:proofErr w:type="spellEnd"/>
      <w:r>
        <w:t xml:space="preserve"> set of tendencies, memories, and histories (themselves based not simply on beliefs about the world but on the accretion of material interactions in it with all sorts of entities, human and otherwise) extends beyond the present into the future.</w:t>
      </w:r>
    </w:p>
    <w:p w14:paraId="605850E2"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28-29 </w:t>
      </w:r>
      <w:r>
        <w:rPr>
          <w:b/>
          <w:color w:val="000000"/>
        </w:rPr>
        <w:t>perceptual tradition</w:t>
      </w:r>
      <w:r>
        <w:rPr>
          <w:color w:val="000000"/>
        </w:rPr>
        <w:t xml:space="preserve">: </w:t>
      </w:r>
      <w:r>
        <w:t xml:space="preserve">Following Cordova’s caution about needing to understand experience as enmeshed within communal processes and formations, we can understand the notion of a “perceptual tradition” as itself exceeding individual sensory fields. … </w:t>
      </w:r>
    </w:p>
    <w:p w14:paraId="3723EAB5"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29: </w:t>
      </w:r>
      <w:r>
        <w:rPr>
          <w:b/>
          <w:color w:val="000000"/>
        </w:rPr>
        <w:t>backgrounding</w:t>
      </w:r>
      <w:r>
        <w:rPr>
          <w:color w:val="000000"/>
        </w:rPr>
        <w:t xml:space="preserve">: As </w:t>
      </w:r>
      <w:r>
        <w:rPr>
          <w:color w:val="000000"/>
          <w:highlight w:val="magenta"/>
        </w:rPr>
        <w:t>Merleau-Ponty</w:t>
      </w:r>
      <w:r>
        <w:rPr>
          <w:color w:val="000000"/>
        </w:rPr>
        <w:t xml:space="preserve"> suggests, “Whatever I think or decide, it is always against the background of what I have previously believed or done.”</w:t>
      </w:r>
      <w:r>
        <w:rPr>
          <w:color w:val="000000"/>
          <w:vertAlign w:val="superscript"/>
        </w:rPr>
        <w:t>96</w:t>
      </w:r>
      <w:r>
        <w:rPr>
          <w:color w:val="000000"/>
        </w:rPr>
        <w:t xml:space="preserve"> However, since such forms of collectivity are themselves not static, instead taking part in processes of becoming (such as </w:t>
      </w:r>
      <w:r>
        <w:rPr>
          <w:color w:val="000000"/>
          <w:highlight w:val="magenta"/>
        </w:rPr>
        <w:t>Miranda</w:t>
      </w:r>
      <w:r>
        <w:rPr>
          <w:color w:val="000000"/>
        </w:rPr>
        <w:t>’s image of the flow of a river), we might characterize their role as an active and shifting process of backgrounding. … Backgrounds and modes of backgrounding provide a means by which to distinguish between temporal formations.</w:t>
      </w:r>
    </w:p>
    <w:p w14:paraId="77EFFE36"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30: </w:t>
      </w:r>
      <w:r>
        <w:rPr>
          <w:b/>
          <w:color w:val="000000"/>
        </w:rPr>
        <w:t>tradition</w:t>
      </w:r>
      <w:r>
        <w:rPr>
          <w:color w:val="000000"/>
        </w:rPr>
        <w:t xml:space="preserve"> and </w:t>
      </w:r>
      <w:r>
        <w:rPr>
          <w:b/>
          <w:color w:val="000000"/>
        </w:rPr>
        <w:t>normative settler temporality</w:t>
      </w:r>
      <w:r>
        <w:rPr>
          <w:color w:val="000000"/>
        </w:rPr>
        <w:t xml:space="preserve">: </w:t>
      </w:r>
      <w:r>
        <w:rPr>
          <w:color w:val="000000"/>
          <w:highlight w:val="magenta"/>
        </w:rPr>
        <w:t>Turner</w:t>
      </w:r>
      <w:r>
        <w:rPr>
          <w:color w:val="000000"/>
        </w:rPr>
        <w:t xml:space="preserve"> focuses on the need to engage in a process of translation whereby Indigenous self-articulations and knowledges can be made </w:t>
      </w:r>
      <w:r>
        <w:rPr>
          <w:color w:val="000000"/>
        </w:rPr>
        <w:lastRenderedPageBreak/>
        <w:t xml:space="preserve">intelligible within the dominant frameworks and discourses used by the settler state, but that problem of institutional intelligibility can be reversed to suggest that the use of traditional to characterize Indigenous knowledges, experiences, and </w:t>
      </w:r>
      <w:proofErr w:type="spellStart"/>
      <w:r>
        <w:rPr>
          <w:b/>
          <w:color w:val="000000"/>
        </w:rPr>
        <w:t>lifeworlds</w:t>
      </w:r>
      <w:proofErr w:type="spellEnd"/>
      <w:r>
        <w:rPr>
          <w:color w:val="000000"/>
        </w:rPr>
        <w:t xml:space="preserve"> already tends to situate them within normative settler temporality. Traditional serves as the opposite of modern, indicating not simply chronological dating but qualities that belong to a different epoch—that do not fit the contours of the present. … the use of </w:t>
      </w:r>
      <w:r>
        <w:rPr>
          <w:b/>
          <w:color w:val="000000"/>
        </w:rPr>
        <w:t>tradition</w:t>
      </w:r>
      <w:r>
        <w:rPr>
          <w:color w:val="000000"/>
        </w:rPr>
        <w:t xml:space="preserve"> and modern as paired and contradistinguished ways of conceptualizing Native processes of becoming often ends up translating Indigenous experiences of time into settler paradigms in ways that powerfully constrain possibilities for envisioning and realizing self-determination.</w:t>
      </w:r>
    </w:p>
    <w:p w14:paraId="4CF8635D" w14:textId="77777777" w:rsidR="00076776" w:rsidRDefault="00000000">
      <w:r>
        <w:rPr>
          <w:color w:val="000000"/>
        </w:rPr>
        <w:t xml:space="preserve">30: </w:t>
      </w:r>
      <w:r>
        <w:rPr>
          <w:b/>
          <w:highlight w:val="green"/>
        </w:rPr>
        <w:t>the land question</w:t>
      </w:r>
      <w:r>
        <w:rPr>
          <w:color w:val="000000"/>
        </w:rPr>
        <w:t xml:space="preserve">: [@IKSG] In particular, “the land question,” as </w:t>
      </w:r>
      <w:r>
        <w:rPr>
          <w:color w:val="000000"/>
          <w:highlight w:val="magenta"/>
        </w:rPr>
        <w:t>Paul Chaat Smith</w:t>
      </w:r>
      <w:r>
        <w:rPr>
          <w:color w:val="000000"/>
        </w:rPr>
        <w:t xml:space="preserve"> puts it, can be understood as helping to generate a background that orients Native temporalities in multifaceted ways.</w:t>
      </w:r>
      <w:r>
        <w:rPr>
          <w:color w:val="000000"/>
          <w:vertAlign w:val="superscript"/>
        </w:rPr>
        <w:t>100</w:t>
      </w:r>
      <w:r>
        <w:rPr>
          <w:color w:val="000000"/>
        </w:rPr>
        <w:t xml:space="preserve"> Native territorialities provide a sense of direction, regularity, and historical density for the continuing emergence of peoplehood and for figuring self-determination.</w:t>
      </w:r>
      <w:r>
        <w:rPr>
          <w:color w:val="000000"/>
          <w:vertAlign w:val="superscript"/>
        </w:rPr>
        <w:t>101</w:t>
      </w:r>
      <w:r>
        <w:rPr>
          <w:color w:val="000000"/>
        </w:rPr>
        <w:t xml:space="preserve"> [Source: Smith, Paul Chaat. </w:t>
      </w:r>
      <w:r>
        <w:rPr>
          <w:i/>
          <w:color w:val="000000"/>
        </w:rPr>
        <w:t>Everything You Know about Indians Is Wrong</w:t>
      </w:r>
      <w:r>
        <w:rPr>
          <w:color w:val="000000"/>
        </w:rPr>
        <w:t>. Minneapolis: University</w:t>
      </w:r>
    </w:p>
    <w:p w14:paraId="7008C977" w14:textId="77777777" w:rsidR="00076776" w:rsidRDefault="00000000">
      <w:pPr>
        <w:rPr>
          <w:color w:val="000000"/>
        </w:rPr>
      </w:pPr>
      <w:r>
        <w:rPr>
          <w:color w:val="000000"/>
        </w:rPr>
        <w:t>of Minnesota Press, 2009.]</w:t>
      </w:r>
    </w:p>
    <w:p w14:paraId="1C25BC8A" w14:textId="77777777" w:rsidR="00076776" w:rsidRDefault="00000000">
      <w:r>
        <w:rPr>
          <w:color w:val="000000"/>
        </w:rPr>
        <w:t xml:space="preserve">31: </w:t>
      </w:r>
      <w:r>
        <w:rPr>
          <w:b/>
          <w:color w:val="000000"/>
        </w:rPr>
        <w:t>becoming</w:t>
      </w:r>
      <w:r>
        <w:rPr>
          <w:color w:val="000000"/>
        </w:rPr>
        <w:t>: In this way, becoming needs to be thought of not as a break with what’s come before but as an inherent dynamism within being, in which continuity is itself an effect of activity rather than being treated simply as stasis or inertia.</w:t>
      </w:r>
      <w:r>
        <w:rPr>
          <w:color w:val="000000"/>
          <w:vertAlign w:val="superscript"/>
        </w:rPr>
        <w:t>107</w:t>
      </w:r>
      <w:r>
        <w:rPr>
          <w:color w:val="000000"/>
        </w:rPr>
        <w:t xml:space="preserve"> </w:t>
      </w:r>
    </w:p>
    <w:p w14:paraId="6EBEB998" w14:textId="77777777" w:rsidR="00076776" w:rsidRDefault="00000000">
      <w:r>
        <w:rPr>
          <w:color w:val="000000"/>
        </w:rPr>
        <w:t xml:space="preserve">32: </w:t>
      </w:r>
      <w:r>
        <w:rPr>
          <w:b/>
          <w:color w:val="000000"/>
        </w:rPr>
        <w:t>momentum</w:t>
      </w:r>
      <w:r>
        <w:rPr>
          <w:color w:val="000000"/>
        </w:rPr>
        <w:t>: I have been using the term momentum as a way of characterizing how processes of becoming carry their own immanent tendencies and directions … the various interanimating dynamics that sustain the collective experience of peoplehood produce forms of regularity that do not simply exist at a given moment in time but influence how a people moves toward the future.</w:t>
      </w:r>
      <w:r>
        <w:rPr>
          <w:color w:val="000000"/>
          <w:vertAlign w:val="superscript"/>
        </w:rPr>
        <w:t>109</w:t>
      </w:r>
      <w:r>
        <w:rPr>
          <w:color w:val="000000"/>
        </w:rPr>
        <w:t xml:space="preserve"> </w:t>
      </w:r>
    </w:p>
    <w:p w14:paraId="25E2F6A7" w14:textId="77777777" w:rsidR="00076776" w:rsidRDefault="00000000">
      <w:r>
        <w:rPr>
          <w:color w:val="000000"/>
        </w:rPr>
        <w:t xml:space="preserve">33-34: </w:t>
      </w:r>
      <w:r>
        <w:rPr>
          <w:b/>
          <w:color w:val="000000"/>
        </w:rPr>
        <w:t>continuity</w:t>
      </w:r>
      <w:r>
        <w:rPr>
          <w:color w:val="000000"/>
        </w:rPr>
        <w:t xml:space="preserve"> and </w:t>
      </w:r>
      <w:r>
        <w:rPr>
          <w:b/>
          <w:color w:val="000000"/>
        </w:rPr>
        <w:t>Indigenous temporalities</w:t>
      </w:r>
      <w:r>
        <w:rPr>
          <w:color w:val="000000"/>
        </w:rPr>
        <w:t xml:space="preserve">: This account of Indigenous temporalities requires rethinking the meaning of continuity. From within a conventional settler perspective, Indigenous continuity means the persistence of </w:t>
      </w:r>
      <w:proofErr w:type="gramStart"/>
      <w:r>
        <w:rPr>
          <w:color w:val="000000"/>
        </w:rPr>
        <w:t>particular kinds</w:t>
      </w:r>
      <w:proofErr w:type="gramEnd"/>
      <w:r>
        <w:rPr>
          <w:color w:val="000000"/>
        </w:rPr>
        <w:t xml:space="preserve"> of ritual belief and relatively unchanged since the period of early contact with non-natives—often characterized as the persistence of tradition or culture. These ideas about Indigenous endurance are institutionalized in various ways as part of state policy, including the mechanisms through which official recognition occurs (legal and administrative determinations of what constitutes an Indian tribe, a land claim, a sacred space, a cultural practice, etc.). Given such narratives of continuity, we should be careful that any effort to address Indigenous temporality/</w:t>
      </w:r>
      <w:proofErr w:type="spellStart"/>
      <w:r>
        <w:rPr>
          <w:color w:val="000000"/>
        </w:rPr>
        <w:t>ies</w:t>
      </w:r>
      <w:proofErr w:type="spellEnd"/>
      <w:r>
        <w:rPr>
          <w:color w:val="000000"/>
        </w:rPr>
        <w:t xml:space="preserve"> be able, in Barker’s formulation, “to claim cultures and identities that are conflicted, messy, uneven, modern, technological, mixed” …. </w:t>
      </w:r>
    </w:p>
    <w:p w14:paraId="0F1D36DE" w14:textId="77777777" w:rsidR="00076776" w:rsidRDefault="00000000">
      <w:r>
        <w:rPr>
          <w:color w:val="000000"/>
        </w:rPr>
        <w:t xml:space="preserve">34: </w:t>
      </w:r>
      <w:r>
        <w:rPr>
          <w:b/>
          <w:color w:val="000000"/>
        </w:rPr>
        <w:t>story</w:t>
      </w:r>
      <w:r>
        <w:rPr>
          <w:color w:val="000000"/>
        </w:rPr>
        <w:t>: [@DubClaim@Narr@CounterArg: see notes, below] “Human beings have no other way of knowing that we exist, or what we have survived, except through the vehicle of story.”113 … Stories help provide the background for Indigenous experiences of time, shaping perceptual traditions while also influencing sensations of what’s possible.</w:t>
      </w:r>
    </w:p>
    <w:p w14:paraId="6ECEA016" w14:textId="77777777" w:rsidR="00076776" w:rsidRDefault="00000000">
      <w:r>
        <w:rPr>
          <w:color w:val="000000"/>
        </w:rPr>
        <w:t xml:space="preserve">34: </w:t>
      </w:r>
      <w:r>
        <w:rPr>
          <w:b/>
          <w:color w:val="000000"/>
        </w:rPr>
        <w:t>oral tradition</w:t>
      </w:r>
      <w:r>
        <w:rPr>
          <w:color w:val="000000"/>
        </w:rPr>
        <w:t>: [@Orality@IK] Often referred to as the oral tradition, Indigenous patterns of making and circulating stories could be construed as a set of relatively authoritative texts through which peoples’ histories and philosophies are transmitted across generations.</w:t>
      </w:r>
    </w:p>
    <w:p w14:paraId="07E06A1A" w14:textId="77777777" w:rsidR="00076776" w:rsidRDefault="00000000">
      <w:r>
        <w:rPr>
          <w:color w:val="000000"/>
        </w:rPr>
        <w:t xml:space="preserve">37: </w:t>
      </w:r>
      <w:proofErr w:type="spellStart"/>
      <w:r>
        <w:rPr>
          <w:b/>
        </w:rPr>
        <w:t>chrononormativity</w:t>
      </w:r>
      <w:proofErr w:type="spellEnd"/>
      <w:r>
        <w:t xml:space="preserve">: That process can be described as </w:t>
      </w:r>
      <w:proofErr w:type="spellStart"/>
      <w:r>
        <w:t>chrononormativity</w:t>
      </w:r>
      <w:proofErr w:type="spellEnd"/>
      <w:r>
        <w:t xml:space="preserve">, which </w:t>
      </w:r>
      <w:r>
        <w:rPr>
          <w:highlight w:val="magenta"/>
        </w:rPr>
        <w:t>Elizabeth Freeman</w:t>
      </w:r>
      <w:r>
        <w:t xml:space="preserve"> defines as “a technique by which institutional forces come to seem like somatic facts” and in which “historically specific regimes of asymmetrical power” appear as “seemingly ordinary bodily tempos and routines.” Furthermore, “these </w:t>
      </w:r>
      <w:proofErr w:type="spellStart"/>
      <w:r>
        <w:t>teleologies</w:t>
      </w:r>
      <w:proofErr w:type="spellEnd"/>
      <w:r>
        <w:t xml:space="preserve"> of living, in turn, structure </w:t>
      </w:r>
      <w:r>
        <w:lastRenderedPageBreak/>
        <w:t xml:space="preserve">the logic of a ‘people’s’ inheritance: rather than just the transfer of private property along </w:t>
      </w:r>
      <w:proofErr w:type="spellStart"/>
      <w:r>
        <w:rPr>
          <w:b/>
        </w:rPr>
        <w:t>heteroreproductive</w:t>
      </w:r>
      <w:proofErr w:type="spellEnd"/>
      <w:r>
        <w:t xml:space="preserve"> lines, inheritance becomes the familial and collective legacy from which a group will draw a properly political future.”</w:t>
      </w:r>
      <w:r>
        <w:rPr>
          <w:sz w:val="23"/>
          <w:szCs w:val="23"/>
          <w:vertAlign w:val="superscript"/>
        </w:rPr>
        <w:t>125</w:t>
      </w:r>
    </w:p>
    <w:p w14:paraId="47530F88"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37: </w:t>
      </w:r>
      <w:proofErr w:type="spellStart"/>
      <w:r>
        <w:rPr>
          <w:b/>
          <w:color w:val="000000"/>
        </w:rPr>
        <w:t>chronobiopolitics</w:t>
      </w:r>
      <w:proofErr w:type="spellEnd"/>
      <w:r>
        <w:rPr>
          <w:color w:val="000000"/>
        </w:rPr>
        <w:t xml:space="preserve">: Here Freeman builds on Dana Luciano’s notion of </w:t>
      </w:r>
      <w:proofErr w:type="spellStart"/>
      <w:r>
        <w:rPr>
          <w:color w:val="000000"/>
        </w:rPr>
        <w:t>chronobiopolitics</w:t>
      </w:r>
      <w:proofErr w:type="spellEnd"/>
      <w:r>
        <w:rPr>
          <w:color w:val="000000"/>
        </w:rPr>
        <w:t>, developed in Arranging Grief, which Luciano defines as “the sexual arrangement of the time of life.”</w:t>
      </w:r>
      <w:proofErr w:type="gramStart"/>
      <w:r>
        <w:rPr>
          <w:color w:val="000000"/>
        </w:rPr>
        <w:t>126 .</w:t>
      </w:r>
      <w:proofErr w:type="gramEnd"/>
      <w:r>
        <w:rPr>
          <w:color w:val="000000"/>
        </w:rPr>
        <w:t xml:space="preserve"> </w:t>
      </w:r>
    </w:p>
    <w:p w14:paraId="5887B510"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37: </w:t>
      </w:r>
      <w:r>
        <w:rPr>
          <w:b/>
          <w:color w:val="000000"/>
        </w:rPr>
        <w:t>straight time</w:t>
      </w:r>
      <w:r>
        <w:rPr>
          <w:color w:val="000000"/>
        </w:rPr>
        <w:t xml:space="preserve">: By seeking to challenge the legitimation and proliferation of straight time (which itself can be understood as a denial of, in Bergson’s terms, the “qualitative multiplicity” of temporal experience), queer critique helps draw attention to how ordinary experiences are influenced by the momentum of dominant formulations of time …. </w:t>
      </w:r>
    </w:p>
    <w:p w14:paraId="693A0CCA"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39: </w:t>
      </w:r>
      <w:proofErr w:type="spellStart"/>
      <w:r>
        <w:rPr>
          <w:b/>
          <w:color w:val="000000"/>
        </w:rPr>
        <w:t>heterotemporality</w:t>
      </w:r>
      <w:proofErr w:type="spellEnd"/>
      <w:r>
        <w:rPr>
          <w:color w:val="000000"/>
        </w:rPr>
        <w:t>: The idea of a singular, linear unfolding in which the present supersedes the past might be thought of as a form of “</w:t>
      </w:r>
      <w:r>
        <w:rPr>
          <w:b/>
          <w:color w:val="000000"/>
        </w:rPr>
        <w:t xml:space="preserve">compulsory </w:t>
      </w:r>
      <w:proofErr w:type="spellStart"/>
      <w:r>
        <w:rPr>
          <w:b/>
          <w:color w:val="000000"/>
        </w:rPr>
        <w:t>heterotemporality</w:t>
      </w:r>
      <w:proofErr w:type="spellEnd"/>
      <w:r>
        <w:rPr>
          <w:color w:val="000000"/>
        </w:rPr>
        <w:t>” in which the understanding of time “mimes the heteronormative demand for proper sexual sequencing,” replaying conceptions of proper individual life sequence at the level of time itself.</w:t>
      </w:r>
      <w:r>
        <w:rPr>
          <w:color w:val="000000"/>
          <w:vertAlign w:val="superscript"/>
        </w:rPr>
        <w:t>132</w:t>
      </w:r>
      <w:r>
        <w:rPr>
          <w:color w:val="000000"/>
        </w:rPr>
        <w:t xml:space="preserve"> [Source: Goldberg and Menon, “Queering History,” 1616; </w:t>
      </w:r>
      <w:proofErr w:type="spellStart"/>
      <w:r>
        <w:rPr>
          <w:color w:val="000000"/>
        </w:rPr>
        <w:t>Rohy</w:t>
      </w:r>
      <w:proofErr w:type="spellEnd"/>
      <w:r>
        <w:rPr>
          <w:color w:val="000000"/>
        </w:rPr>
        <w:t>, Anachronism and Its Others, 130.]</w:t>
      </w:r>
    </w:p>
    <w:p w14:paraId="73098363"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40-41: </w:t>
      </w:r>
      <w:r>
        <w:rPr>
          <w:b/>
          <w:color w:val="000000"/>
        </w:rPr>
        <w:t>temporal drag</w:t>
      </w:r>
      <w:r>
        <w:rPr>
          <w:color w:val="000000"/>
        </w:rPr>
        <w:t xml:space="preserve">: [@Perf@SpaceTime] For example, we might consider </w:t>
      </w:r>
      <w:r>
        <w:rPr>
          <w:color w:val="000000"/>
          <w:highlight w:val="magenta"/>
        </w:rPr>
        <w:t>Freeman</w:t>
      </w:r>
      <w:r>
        <w:rPr>
          <w:color w:val="000000"/>
        </w:rPr>
        <w:t>’s notion of “temporal drag.” … Freeman takes to task notions of performativity focused on repetition for their tendency to privilege “novelty” rather than “anachronism” in ways that suggest that “whatever seems to generate continuity seems better left behind.”</w:t>
      </w:r>
    </w:p>
    <w:p w14:paraId="4F025D48"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44: </w:t>
      </w:r>
      <w:proofErr w:type="spellStart"/>
      <w:proofErr w:type="gramStart"/>
      <w:r>
        <w:rPr>
          <w:b/>
          <w:color w:val="000000"/>
        </w:rPr>
        <w:t>chrononormativities</w:t>
      </w:r>
      <w:proofErr w:type="spellEnd"/>
      <w:r>
        <w:rPr>
          <w:color w:val="000000"/>
        </w:rPr>
        <w:t xml:space="preserve"> :</w:t>
      </w:r>
      <w:proofErr w:type="gramEnd"/>
      <w:r>
        <w:rPr>
          <w:color w:val="000000"/>
        </w:rPr>
        <w:t xml:space="preserve"> Representing Native stories, knowledges, and experiences as traditional casts them as residual of some other, older time instead of characterizing them as participating in a present whose frame of reference differs from that of the </w:t>
      </w:r>
      <w:proofErr w:type="spellStart"/>
      <w:r>
        <w:rPr>
          <w:color w:val="000000"/>
        </w:rPr>
        <w:t>chrononormativities</w:t>
      </w:r>
      <w:proofErr w:type="spellEnd"/>
      <w:r>
        <w:rPr>
          <w:color w:val="000000"/>
        </w:rPr>
        <w:t xml:space="preserve"> of settler governance.</w:t>
      </w:r>
    </w:p>
    <w:p w14:paraId="28C177C9"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highlight w:val="green"/>
        </w:rPr>
        <w:t xml:space="preserve">45: </w:t>
      </w:r>
      <w:r>
        <w:rPr>
          <w:b/>
          <w:color w:val="000000"/>
          <w:highlight w:val="green"/>
        </w:rPr>
        <w:t xml:space="preserve">grounded </w:t>
      </w:r>
      <w:proofErr w:type="spellStart"/>
      <w:r>
        <w:rPr>
          <w:b/>
          <w:color w:val="000000"/>
          <w:highlight w:val="green"/>
        </w:rPr>
        <w:t>normativities</w:t>
      </w:r>
      <w:proofErr w:type="spellEnd"/>
      <w:r>
        <w:rPr>
          <w:color w:val="000000"/>
        </w:rPr>
        <w:t xml:space="preserve">: [@FFessay] Being in place entails having collective stories that provide orientation with respect to that place’s relation to other places, its ongoing participation in a shared history and futurity, and the ethics that guide how one connects to the land and to other people. Such emplaced and emplacing stories (what </w:t>
      </w:r>
      <w:r>
        <w:rPr>
          <w:color w:val="000000"/>
          <w:highlight w:val="magenta"/>
        </w:rPr>
        <w:t>Coulthard</w:t>
      </w:r>
      <w:r>
        <w:rPr>
          <w:color w:val="000000"/>
        </w:rPr>
        <w:t xml:space="preserve"> refers to as “grounded </w:t>
      </w:r>
      <w:proofErr w:type="spellStart"/>
      <w:r>
        <w:rPr>
          <w:color w:val="000000"/>
        </w:rPr>
        <w:t>normativities</w:t>
      </w:r>
      <w:proofErr w:type="spellEnd"/>
      <w:r>
        <w:rPr>
          <w:color w:val="000000"/>
        </w:rPr>
        <w:t>”) generate a frame of reference for relation across time, but less like an inheritance passed generationally—something akin to an heirloom—than a potentially open-ended way of (re)connecting to social and physical landscapes.</w:t>
      </w:r>
      <w:r>
        <w:rPr>
          <w:color w:val="000000"/>
          <w:vertAlign w:val="superscript"/>
        </w:rPr>
        <w:t>153</w:t>
      </w:r>
    </w:p>
    <w:p w14:paraId="211D31B0"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7807F457" w14:textId="77777777" w:rsidR="00076776" w:rsidRDefault="00000000">
      <w:pPr>
        <w:pStyle w:val="Heading2"/>
      </w:pPr>
      <w:r>
        <w:t>Core quotes</w:t>
      </w:r>
    </w:p>
    <w:p w14:paraId="6435B1C7"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4-5 @Thesis</w:t>
      </w:r>
    </w:p>
    <w:p w14:paraId="7AF20903"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color w:val="000000"/>
        </w:rPr>
      </w:pPr>
      <w:r>
        <w:rPr>
          <w:color w:val="000000"/>
        </w:rPr>
        <w:t>… my insistence on the potential distinction between Native and non-native experiences of time may be understood as aiming to facilitate possibilities for temporal sovereignty.</w:t>
      </w:r>
    </w:p>
    <w:p w14:paraId="3250C39C"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5F6CF363"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 xml:space="preserve">Note that pp. 3-4 expand on this simplified thesis, which is, from my reading, an attempt to read pluralities in the </w:t>
      </w:r>
      <w:proofErr w:type="spellStart"/>
      <w:r>
        <w:rPr>
          <w:color w:val="000000"/>
        </w:rPr>
        <w:t>phenomenologies</w:t>
      </w:r>
      <w:proofErr w:type="spellEnd"/>
      <w:r>
        <w:rPr>
          <w:color w:val="000000"/>
        </w:rPr>
        <w:t xml:space="preserve"> of time, or “discrepant temporalities that can be understood as affecting each other, as all open to change, and yet as not equivalent or mergeable into a neutral, common frame—call it time, modernity, history, or the present” (3). </w:t>
      </w:r>
    </w:p>
    <w:p w14:paraId="71C2143F"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3D8FBBAF"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9 @</w:t>
      </w:r>
      <w:proofErr w:type="gramStart"/>
      <w:r>
        <w:rPr>
          <w:color w:val="000000"/>
        </w:rPr>
        <w:t>L?@</w:t>
      </w:r>
      <w:proofErr w:type="gramEnd"/>
      <w:r>
        <w:rPr>
          <w:color w:val="000000"/>
        </w:rPr>
        <w:t>SpacePlace@SettPsych@SettState@Map@Arg</w:t>
      </w:r>
    </w:p>
    <w:p w14:paraId="4E1FF9B9"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 xml:space="preserve">Good question from which to build an argument? </w:t>
      </w:r>
    </w:p>
    <w:p w14:paraId="3BBBFD2F"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color w:val="000000"/>
        </w:rPr>
      </w:pPr>
      <w:r>
        <w:rPr>
          <w:color w:val="000000"/>
        </w:rPr>
        <w:t xml:space="preserve">What happens to the possibilities for conceptualizing Indigenous sovereignty and self-determination when they, a priori, are understood as occurring within a singular temporal </w:t>
      </w:r>
    </w:p>
    <w:p w14:paraId="35ECB8C9"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pPr>
      <w:r>
        <w:rPr>
          <w:color w:val="000000"/>
        </w:rPr>
        <w:lastRenderedPageBreak/>
        <w:t xml:space="preserve">formation </w:t>
      </w:r>
      <w:r>
        <w:rPr>
          <w:b/>
          <w:color w:val="000000"/>
        </w:rPr>
        <w:t>oriented by settler coordinates</w:t>
      </w:r>
      <w:r>
        <w:rPr>
          <w:color w:val="000000"/>
        </w:rPr>
        <w:t>?</w:t>
      </w:r>
      <w:r>
        <w:rPr>
          <w:color w:val="000000"/>
          <w:vertAlign w:val="superscript"/>
        </w:rPr>
        <w:t>24</w:t>
      </w:r>
      <w:r>
        <w:rPr>
          <w:color w:val="000000"/>
        </w:rPr>
        <w:t xml:space="preserve"> [From 195 footnote] </w:t>
      </w:r>
      <w:r>
        <w:rPr>
          <w:b/>
          <w:color w:val="000000"/>
        </w:rPr>
        <w:t>I seek to suggest how Native being and becoming can be understood as responsive to non-native presence and pressures while not necessarily participating in a shared formation</w:t>
      </w:r>
      <w:r>
        <w:rPr>
          <w:color w:val="000000"/>
        </w:rPr>
        <w:t>.</w:t>
      </w:r>
    </w:p>
    <w:p w14:paraId="5579C026"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3ACD566F"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 xml:space="preserve">18 </w:t>
      </w:r>
      <w:proofErr w:type="spellStart"/>
      <w:r>
        <w:rPr>
          <w:color w:val="000000"/>
        </w:rPr>
        <w:t>SettState@SettPsyche@Erase@FFessay@Techtopia</w:t>
      </w:r>
      <w:proofErr w:type="spellEnd"/>
    </w:p>
    <w:p w14:paraId="7279B7FD"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We could see the narratives around “technology” as a way to assert the “story of the now,” as a supplement to the settler moves to innocence—that denial required to avoid the land question of the past and </w:t>
      </w:r>
      <w:r>
        <w:rPr>
          <w:i/>
          <w:color w:val="000000"/>
        </w:rPr>
        <w:t>present</w:t>
      </w:r>
      <w:r>
        <w:rPr>
          <w:color w:val="000000"/>
        </w:rPr>
        <w:t xml:space="preserve">, ironically, and a way to use temporality as a tool to continually live in an idea of the future, a homogenous space/place made “universal” through the promised neutrality of technology. </w:t>
      </w:r>
    </w:p>
    <w:p w14:paraId="429452AE"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pPr>
      <w:r>
        <w:rPr>
          <w:b/>
          <w:color w:val="000000"/>
        </w:rPr>
        <w:t xml:space="preserve">Focusing on the encounter now </w:t>
      </w:r>
      <w:r>
        <w:rPr>
          <w:color w:val="000000"/>
        </w:rPr>
        <w:t>privileges the account of “California Indians” as gone because of the absence of clear signs of “culture,” such as Native language use, at a given moment in time.</w:t>
      </w:r>
    </w:p>
    <w:p w14:paraId="4F34BB18"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34FA7869"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highlight w:val="green"/>
        </w:rPr>
      </w:pPr>
      <w:r>
        <w:rPr>
          <w:color w:val="000000"/>
          <w:highlight w:val="green"/>
        </w:rPr>
        <w:t>19 @IK@SpaceTime@SettPsych@Ontol@</w:t>
      </w:r>
      <w:proofErr w:type="gramStart"/>
      <w:r>
        <w:rPr>
          <w:color w:val="000000"/>
          <w:highlight w:val="green"/>
        </w:rPr>
        <w:t>Diss?@</w:t>
      </w:r>
      <w:proofErr w:type="gramEnd"/>
      <w:r>
        <w:rPr>
          <w:color w:val="000000"/>
          <w:highlight w:val="green"/>
        </w:rPr>
        <w:t>FFessay@Motherlode!</w:t>
      </w:r>
    </w:p>
    <w:p w14:paraId="07EA352E"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How “Indigenous narrations and sensations of time may not accord with dominant settler accounts:”</w:t>
      </w:r>
    </w:p>
    <w:p w14:paraId="3F06E1CE"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pPr>
      <w:r>
        <w:rPr>
          <w:b/>
          <w:color w:val="000000"/>
        </w:rPr>
        <w:t>Indigenous narrations and sensations of time may not accord with dominant settler accounts or models in a variety of ways</w:t>
      </w:r>
      <w:r>
        <w:rPr>
          <w:color w:val="000000"/>
        </w:rPr>
        <w:t xml:space="preserve">, including the following: modes of periodization; the felt presence of ancestors; affectively consequential memories of prior dis- possessions; the ongoing material legacies of such dispossessions; knowledges arising from enduring occupancy in a particular homeland, including </w:t>
      </w:r>
      <w:proofErr w:type="spellStart"/>
      <w:r>
        <w:rPr>
          <w:color w:val="000000"/>
        </w:rPr>
        <w:t>attunement</w:t>
      </w:r>
      <w:proofErr w:type="spellEnd"/>
      <w:r>
        <w:rPr>
          <w:color w:val="000000"/>
        </w:rPr>
        <w:t xml:space="preserve"> to animal and climatic periodicities; knowledges arising from present or prior forms of mobility; the employment of generationally iterated stories as a basis for engaging with people, places, and nonhuman entities; the setting of the significance of events within a much longer timeframe (generations, centuries, or millennia); particular ceremonial periodicities; the influence and force of prophecy; and a palpable set of responsibilities to prior generations and future ones.</w:t>
      </w:r>
    </w:p>
    <w:p w14:paraId="0611693E"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color w:val="000000"/>
        </w:rPr>
      </w:pPr>
    </w:p>
    <w:p w14:paraId="64FF14FC"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highlight w:val="green"/>
        </w:rPr>
        <w:t>@KTerm@</w:t>
      </w:r>
      <w:proofErr w:type="gramStart"/>
      <w:r>
        <w:rPr>
          <w:color w:val="000000"/>
          <w:highlight w:val="green"/>
        </w:rPr>
        <w:t>K?:</w:t>
      </w:r>
      <w:proofErr w:type="gramEnd"/>
      <w:r>
        <w:rPr>
          <w:color w:val="000000"/>
        </w:rPr>
        <w:t xml:space="preserve"> could we not use this: “Indigenous narrations and sensations of time may not accord with dominant settler accounts or models in a variety of ways” </w:t>
      </w:r>
      <w:proofErr w:type="gramStart"/>
      <w:r>
        <w:rPr>
          <w:color w:val="000000"/>
        </w:rPr>
        <w:t>as a way to</w:t>
      </w:r>
      <w:proofErr w:type="gramEnd"/>
      <w:r>
        <w:rPr>
          <w:color w:val="000000"/>
        </w:rPr>
        <w:t xml:space="preserve"> argue for a definition of “</w:t>
      </w:r>
      <w:r>
        <w:rPr>
          <w:color w:val="000000"/>
          <w:highlight w:val="green"/>
        </w:rPr>
        <w:t>narrativized time</w:t>
      </w:r>
      <w:r>
        <w:rPr>
          <w:color w:val="000000"/>
        </w:rPr>
        <w:t xml:space="preserve">”? This would apply differently across all the frameworks that Rifkin posits. Particularly </w:t>
      </w:r>
      <w:proofErr w:type="gramStart"/>
      <w:r>
        <w:rPr>
          <w:color w:val="000000"/>
        </w:rPr>
        <w:t>in light of</w:t>
      </w:r>
      <w:proofErr w:type="gramEnd"/>
      <w:r>
        <w:rPr>
          <w:color w:val="000000"/>
        </w:rPr>
        <w:t xml:space="preserve"> the settler, or “European historicism” version of time that Rifkin quotes through Chakrabarty: </w:t>
      </w:r>
    </w:p>
    <w:p w14:paraId="28D500DC"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0E8EAE53"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pPr>
      <w:r>
        <w:rPr>
          <w:b/>
          <w:color w:val="000000"/>
        </w:rPr>
        <w:t>“Natural” time</w:t>
      </w:r>
      <w:r>
        <w:rPr>
          <w:color w:val="000000"/>
        </w:rPr>
        <w:t xml:space="preserve"> appears as if it were a singular, neutral medium into which to transpose varied experiences of becoming, such that they all can be measured and related through reference to an underlying, “real” continuity—a linear, integrated, universal unfolding. Chakrabarty notes that European historicism employs a conception of time that “is godless, continuous, and, to follow [Walter] </w:t>
      </w:r>
      <w:r>
        <w:rPr>
          <w:color w:val="000000"/>
          <w:highlight w:val="magenta"/>
        </w:rPr>
        <w:t>Benjamin</w:t>
      </w:r>
      <w:r>
        <w:rPr>
          <w:color w:val="000000"/>
        </w:rPr>
        <w:t xml:space="preserve">, empty and homogeneous”: “the assumed universal applicability of its method entails the further assumption that it is always possible to assign people, places, and objects to a naturally existing, continuous flow of historical time,” such that one “will always be able to produce a timeline for the globe, in which for any given span of time, the events in areas X, Y, and Z can be named”— “put[ting] them into a time we are all supposed to have shared, consciously or not.”58 The supposedly objective givenness of simultaneity, of an unmediated mutual now, depends on a historicist </w:t>
      </w:r>
      <w:r>
        <w:rPr>
          <w:color w:val="000000"/>
        </w:rPr>
        <w:lastRenderedPageBreak/>
        <w:t xml:space="preserve">conception of time as an unfolding, universal line of development. … </w:t>
      </w:r>
      <w:r>
        <w:rPr>
          <w:b/>
          <w:color w:val="000000"/>
        </w:rPr>
        <w:t>Positing a “natural” time that underlies any “cultural construction,” then, implicitly casts non-Euro-American forms of temporal experience as a form of belief, rendering them less real than dominant accounts of a shared, linear time</w:t>
      </w:r>
      <w:r>
        <w:rPr>
          <w:color w:val="000000"/>
        </w:rPr>
        <w:t>.60</w:t>
      </w:r>
    </w:p>
    <w:p w14:paraId="12C254B0"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rPr>
      </w:pPr>
    </w:p>
    <w:p w14:paraId="44378FB2"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highlight w:val="red"/>
        </w:rPr>
      </w:pPr>
      <w:r>
        <w:rPr>
          <w:color w:val="000000"/>
          <w:highlight w:val="red"/>
        </w:rPr>
        <w:t>22 @SpaceTime@</w:t>
      </w:r>
      <w:proofErr w:type="gramStart"/>
      <w:r>
        <w:rPr>
          <w:color w:val="000000"/>
          <w:highlight w:val="red"/>
        </w:rPr>
        <w:t>L?@</w:t>
      </w:r>
      <w:proofErr w:type="gramEnd"/>
      <w:r>
        <w:rPr>
          <w:color w:val="000000"/>
          <w:highlight w:val="red"/>
        </w:rPr>
        <w:t>Map@FFessay@Knote@FFessay@</w:t>
      </w:r>
      <w:proofErr w:type="gramStart"/>
      <w:r>
        <w:rPr>
          <w:color w:val="000000"/>
          <w:highlight w:val="red"/>
        </w:rPr>
        <w:t>Motherlode!@</w:t>
      </w:r>
      <w:proofErr w:type="gramEnd"/>
      <w:r>
        <w:rPr>
          <w:color w:val="000000"/>
          <w:highlight w:val="red"/>
        </w:rPr>
        <w:t>Diss</w:t>
      </w:r>
    </w:p>
    <w:p w14:paraId="22907C81"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1C05165D"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color w:val="000000"/>
        </w:rPr>
      </w:pPr>
      <w:r>
        <w:rPr>
          <w:color w:val="000000"/>
        </w:rPr>
        <w:t xml:space="preserve">The idea of simultaneity as a physical property of time, then, suggests that one can cut up time into equivalent units and that all the events that are spatially </w:t>
      </w:r>
      <w:proofErr w:type="spellStart"/>
      <w:r>
        <w:rPr>
          <w:color w:val="000000"/>
        </w:rPr>
        <w:t>copresent</w:t>
      </w:r>
      <w:proofErr w:type="spellEnd"/>
      <w:r>
        <w:rPr>
          <w:color w:val="000000"/>
        </w:rPr>
        <w:t xml:space="preserve"> on that temporal plane are simultaneous with each other (treating space itself as an infinitely divisible grid of equivalent units).72</w:t>
      </w:r>
    </w:p>
    <w:p w14:paraId="0A37BBCA"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172BEB3C"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b/>
          <w:color w:val="000000"/>
        </w:rPr>
        <w:t xml:space="preserve">Have we not done the same with maps and space, which </w:t>
      </w:r>
      <w:proofErr w:type="gramStart"/>
      <w:r>
        <w:rPr>
          <w:b/>
          <w:color w:val="000000"/>
        </w:rPr>
        <w:t>has to</w:t>
      </w:r>
      <w:proofErr w:type="gramEnd"/>
      <w:r>
        <w:rPr>
          <w:b/>
          <w:color w:val="000000"/>
        </w:rPr>
        <w:t xml:space="preserve"> be, by definition, contiguous, especially materially</w:t>
      </w:r>
      <w:r>
        <w:rPr>
          <w:color w:val="000000"/>
        </w:rPr>
        <w:t xml:space="preserve">—it is only at the atomic level that relative distances from a neutron to a proton suggest “emptiness” or “boundaries” between objects. so, in cutting up space “into equivalent units … that are spatially </w:t>
      </w:r>
      <w:proofErr w:type="spellStart"/>
      <w:r>
        <w:rPr>
          <w:color w:val="000000"/>
        </w:rPr>
        <w:t>copresent</w:t>
      </w:r>
      <w:proofErr w:type="spellEnd"/>
      <w:r>
        <w:rPr>
          <w:color w:val="000000"/>
        </w:rPr>
        <w:t xml:space="preserve">” on a geographical plane, have we not denied other ways of being in space, as Rifkin says we have done with time? I will build on this to ask what “spatial copresence” means in the geographic sense: </w:t>
      </w:r>
    </w:p>
    <w:p w14:paraId="0AEC0EC7"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1CFFA1B1"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color w:val="000000"/>
        </w:rPr>
      </w:pPr>
      <w:r>
        <w:rPr>
          <w:color w:val="000000"/>
        </w:rPr>
        <w:t>What does such spatial copresence at a supposed moment of time mean in terms of thinking the relation between those “simultaneous” events?</w:t>
      </w:r>
    </w:p>
    <w:p w14:paraId="15EABC06"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693BF8E9"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Is there such thing as a “natural” place/space? </w:t>
      </w:r>
      <w:r>
        <w:rPr>
          <w:color w:val="000000"/>
          <w:highlight w:val="green"/>
        </w:rPr>
        <w:t>Use the following to ask if there is such thing as a “natural” settler place/space:</w:t>
      </w:r>
      <w:r>
        <w:rPr>
          <w:color w:val="000000"/>
        </w:rPr>
        <w:t xml:space="preserve"> </w:t>
      </w:r>
    </w:p>
    <w:p w14:paraId="3CC8EE78"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037133AF"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color w:val="000000"/>
        </w:rPr>
      </w:pPr>
      <w:r>
        <w:rPr>
          <w:color w:val="000000"/>
        </w:rPr>
        <w:t>What does presence at the same time mean in these terms except being able to be plotted on a grid such that events occupy an “identical” temporal plane? From within Bergson’s analysis, an insistence on “natural” time—that everyone occupies a singular present—looks like a mathematizing abstraction that effaces the experience of duration. In this vein, to what extent does the notion that Natives and non-natives necessarily occupy a shared temporality rely on homogenizing space and time such that ostensible copresence in space (sizing that grid at whatever scale—a particular region, the territory of the nation-state, the globe) on a slice of time (however wide—an instant, a year, a decade) is taken to mean a common inhabiting of “modern time,” regardless of how Natives and non-natives enter into each other’s sensations and experiences of duration?</w:t>
      </w:r>
    </w:p>
    <w:p w14:paraId="28D87BFE"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14199AB0"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25 @Ontol@Con@SpacePlace</w:t>
      </w:r>
    </w:p>
    <w:p w14:paraId="35501C7E"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color w:val="000000"/>
        </w:rPr>
      </w:pPr>
      <w:r>
        <w:rPr>
          <w:color w:val="000000"/>
        </w:rPr>
        <w:t>Cordova suggests, “Each of us occupies a world that is made by our predecessors. We are given ‘reality’; we do not discover it,” further indicating that “there are no individual realities, only communal ones” and that “we reinforce our communal sense of reality</w:t>
      </w:r>
      <w:proofErr w:type="gramStart"/>
      <w:r>
        <w:rPr>
          <w:color w:val="000000"/>
        </w:rPr>
        <w:t>. . . .</w:t>
      </w:r>
      <w:proofErr w:type="gramEnd"/>
      <w:r>
        <w:rPr>
          <w:color w:val="000000"/>
        </w:rPr>
        <w:t xml:space="preserve"> We act on it. In it.”</w:t>
      </w:r>
    </w:p>
    <w:p w14:paraId="5D61DD59"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0E75756E"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26 @</w:t>
      </w:r>
      <w:proofErr w:type="gramStart"/>
      <w:r>
        <w:rPr>
          <w:color w:val="000000"/>
        </w:rPr>
        <w:t>Motherlode!@</w:t>
      </w:r>
      <w:proofErr w:type="gramEnd"/>
      <w:r>
        <w:rPr>
          <w:color w:val="000000"/>
        </w:rPr>
        <w:t>Topo@Map@IK@Narr@Ontol@Diss@FFessay</w:t>
      </w:r>
    </w:p>
    <w:p w14:paraId="4B26A51F"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color w:val="000000"/>
        </w:rPr>
      </w:pPr>
      <w:r>
        <w:rPr>
          <w:color w:val="000000"/>
        </w:rPr>
        <w:t xml:space="preserve">Attending to Indigenous temporal sovereignty, then, draws attention to the ways in which settler superintendence of Native peoples imposes a particular account of how time works—a normative language or framework of temporality that serves as the basis for </w:t>
      </w:r>
      <w:r>
        <w:rPr>
          <w:color w:val="000000"/>
        </w:rPr>
        <w:lastRenderedPageBreak/>
        <w:t>forms of temporal inclusion and recognition. Settler time reduces the unfolding and adaptive expressions of Indigenous peoplehood to a set of points—the supposedly shared now of the present, modernity, and national history—within a configuration that is positioned as the commonsensical frame in ways that deny the immanent motion of indigeneity. Native peoplehood gets plotted in ways that deny the movement inherent in its ongoing emergence.</w:t>
      </w:r>
    </w:p>
    <w:p w14:paraId="24997DE4"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2F7F4F53"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45 @Topo@Map@IK@Narr@Ontol@Diss@FFessay@Motherlode!</w:t>
      </w:r>
    </w:p>
    <w:p w14:paraId="4212DF2C"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 xml:space="preserve">Key quote for placenames in this whole chapter: </w:t>
      </w:r>
    </w:p>
    <w:p w14:paraId="6908616A"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pPr>
      <w:r>
        <w:rPr>
          <w:color w:val="000000"/>
        </w:rPr>
        <w:t xml:space="preserve">As Keith Basso says of Apache practices of place naming, “the place-maker’s main objective is to speak the past into being, to summon it with words and give it dramatic form, to </w:t>
      </w:r>
      <w:r>
        <w:rPr>
          <w:i/>
          <w:color w:val="000000"/>
        </w:rPr>
        <w:t>produce</w:t>
      </w:r>
      <w:r>
        <w:rPr>
          <w:color w:val="000000"/>
        </w:rPr>
        <w:t xml:space="preserve"> experience by forging ancestral worlds in which others can participate and readily lose themselves.” Later he observes, “</w:t>
      </w:r>
      <w:r>
        <w:rPr>
          <w:b/>
          <w:color w:val="000000"/>
        </w:rPr>
        <w:t>By virtue of their role as spatial anchors in traditional Apache narratives, place-names can be made to represent the narratives themselves, summarizing them, as it were.</w:t>
      </w:r>
      <w:r>
        <w:rPr>
          <w:color w:val="000000"/>
        </w:rPr>
        <w:t xml:space="preserve">”154 Stories, then, give meaning to current and former occupancy in particular places while also conjuring the specificities of those places, producing kinds of experience and forms of relation that cross apparent temporal gulfs but do not arrive as an uncanny or spectral remainder. These connections to place exceed the terms of individual affect and transect the </w:t>
      </w:r>
      <w:proofErr w:type="spellStart"/>
      <w:r>
        <w:rPr>
          <w:b/>
          <w:color w:val="000000"/>
        </w:rPr>
        <w:t>chronogeopolitics</w:t>
      </w:r>
      <w:proofErr w:type="spellEnd"/>
      <w:r>
        <w:rPr>
          <w:color w:val="000000"/>
        </w:rPr>
        <w:t xml:space="preserve"> of settler policy and popular narratives. Everyday participation within such storying produces emotional and sensory investments in placemaking that give shape to and help animate collective processes of becoming and ways of being-in-time that can be understood as expressions of </w:t>
      </w:r>
      <w:r>
        <w:rPr>
          <w:b/>
          <w:color w:val="000000"/>
        </w:rPr>
        <w:t>temporal sovereignty</w:t>
      </w:r>
      <w:r>
        <w:rPr>
          <w:color w:val="000000"/>
        </w:rPr>
        <w:t>.</w:t>
      </w:r>
    </w:p>
    <w:p w14:paraId="018E15D3"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42E7EBDC"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46 @Map@Orality@IK@Narr@L?</w:t>
      </w:r>
    </w:p>
    <w:p w14:paraId="56503734"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pPr>
      <w:r>
        <w:rPr>
          <w:color w:val="000000"/>
        </w:rPr>
        <w:t>As Goeman observes, “the literary maps of Native people presented in oral stories, or later in writing” offer “subversive or alternative geographies,” later adding that “Native literature provides a mechanism to see the limits of territory, as it is legally interpreted from original treaties, and give sustenance to Native people’s relationship to the land” and that such narratives offer “examples of a writer’s ability to disrupt the ‘truths’ of settler colonialism.”</w:t>
      </w:r>
      <w:r>
        <w:rPr>
          <w:color w:val="000000"/>
          <w:vertAlign w:val="superscript"/>
        </w:rPr>
        <w:t>157</w:t>
      </w:r>
    </w:p>
    <w:p w14:paraId="5E62BADA"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0CA72BCB"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44 @Narr@IK@SpaceTimeISr@SettState</w:t>
      </w:r>
    </w:p>
    <w:p w14:paraId="0447C21F"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 xml:space="preserve">On the relationship between settler approaches to IK narratives and settler-state hegemonies: </w:t>
      </w:r>
    </w:p>
    <w:p w14:paraId="4FEEDBA7"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pPr>
      <w:r>
        <w:rPr>
          <w:color w:val="000000"/>
        </w:rPr>
        <w:t xml:space="preserve">Representing Native stories, knowledges, and experiences as traditional casts them as residual of some other, older time instead of characterizing them as participating in a present whose frame of reference differs from that of </w:t>
      </w:r>
      <w:r>
        <w:rPr>
          <w:b/>
          <w:color w:val="000000"/>
        </w:rPr>
        <w:t xml:space="preserve">the </w:t>
      </w:r>
      <w:proofErr w:type="spellStart"/>
      <w:r>
        <w:rPr>
          <w:b/>
          <w:color w:val="000000"/>
        </w:rPr>
        <w:t>chrononormativities</w:t>
      </w:r>
      <w:proofErr w:type="spellEnd"/>
      <w:r>
        <w:rPr>
          <w:b/>
          <w:color w:val="000000"/>
        </w:rPr>
        <w:t xml:space="preserve"> of settler governance.</w:t>
      </w:r>
      <w:r>
        <w:rPr>
          <w:color w:val="000000"/>
        </w:rPr>
        <w:t xml:space="preserve"> Conversely, understanding the work of story in the present as something like temporal drag emphasizes the leap from the past to the present, the uncanny reappearance of the former in the latter, instead of highlighting the diffusion of stories through networks of relationships that provide the basis for living peoplehood as an ongoing process (the collective “retelling of the past” and “imagining of the future” that Miranda addresses).</w:t>
      </w:r>
    </w:p>
    <w:p w14:paraId="196D7EF2"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18ABC543" w14:textId="77777777" w:rsidR="00076776" w:rsidRDefault="00000000">
      <w:pPr>
        <w:pStyle w:val="Heading2"/>
      </w:pPr>
      <w:r>
        <w:t>Secondary quotes</w:t>
      </w:r>
    </w:p>
    <w:p w14:paraId="10BB496D"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4 @Thesis@Dual@FB: … my aim lies in trying to open greater conceptual and discursive room for addressing time in </w:t>
      </w:r>
      <w:r>
        <w:rPr>
          <w:b/>
          <w:color w:val="000000"/>
        </w:rPr>
        <w:t>ways that avoid the following</w:t>
      </w:r>
      <w:r>
        <w:rPr>
          <w:color w:val="000000"/>
        </w:rPr>
        <w:t xml:space="preserve">: </w:t>
      </w:r>
      <w:r>
        <w:rPr>
          <w:b/>
          <w:color w:val="000000"/>
        </w:rPr>
        <w:t xml:space="preserve">falling back into the dichotomization of </w:t>
      </w:r>
      <w:r>
        <w:rPr>
          <w:b/>
          <w:color w:val="000000"/>
        </w:rPr>
        <w:lastRenderedPageBreak/>
        <w:t>tradition and modernization</w:t>
      </w:r>
      <w:r>
        <w:rPr>
          <w:color w:val="000000"/>
        </w:rPr>
        <w:t>, mandating that Native modes of being-in-time be understood as inherently occupying an experience of the present shared with non-natives, implicitly distinguishing between beliefs about time and its supposed universal facts, and insisting on the adoption of settler modes of time as the real in order to engage with Euro-American historicism(s).8 There is an inherently speculative quality to what I’m doing. The position I am taking up is negative dialectical and offered in solidarity.</w:t>
      </w:r>
      <w:r>
        <w:rPr>
          <w:color w:val="000000"/>
          <w:vertAlign w:val="superscript"/>
        </w:rPr>
        <w:t>9</w:t>
      </w:r>
      <w:r>
        <w:rPr>
          <w:color w:val="000000"/>
        </w:rPr>
        <w:t xml:space="preserve"> / 5 Section: </w:t>
      </w:r>
      <w:r>
        <w:rPr>
          <w:b/>
          <w:color w:val="000000"/>
        </w:rPr>
        <w:t>Modernity/</w:t>
      </w:r>
      <w:proofErr w:type="spellStart"/>
      <w:r>
        <w:rPr>
          <w:b/>
          <w:color w:val="000000"/>
        </w:rPr>
        <w:t>ies</w:t>
      </w:r>
      <w:proofErr w:type="spellEnd"/>
      <w:r>
        <w:rPr>
          <w:b/>
          <w:color w:val="000000"/>
        </w:rPr>
        <w:t>, Temporal Recognition, and the Limits of “Now”</w:t>
      </w:r>
      <w:r>
        <w:rPr>
          <w:color w:val="000000"/>
        </w:rPr>
        <w:t xml:space="preserve"> … What does it mean to be recognized as existing in time? / 16 there must be a way of thinking the </w:t>
      </w:r>
      <w:r>
        <w:rPr>
          <w:b/>
          <w:color w:val="000000"/>
        </w:rPr>
        <w:t>plurality of time</w:t>
      </w:r>
      <w:r>
        <w:rPr>
          <w:color w:val="000000"/>
        </w:rPr>
        <w:t xml:space="preserve"> / </w:t>
      </w:r>
      <w:r>
        <w:rPr>
          <w:color w:val="000000"/>
          <w:highlight w:val="magenta"/>
        </w:rPr>
        <w:t>West-Pavlov</w:t>
      </w:r>
      <w:r>
        <w:rPr>
          <w:color w:val="000000"/>
        </w:rPr>
        <w:t xml:space="preserve"> further notes, “</w:t>
      </w:r>
      <w:r>
        <w:rPr>
          <w:b/>
          <w:color w:val="000000"/>
        </w:rPr>
        <w:t>Temporality is not the environment of these processes, or the measuring stick to calibrate them, but rather, the processes themselves</w:t>
      </w:r>
      <w:r>
        <w:rPr>
          <w:color w:val="000000"/>
        </w:rPr>
        <w:t xml:space="preserve">,” and these processes give rise to “multiple temporalities which are immanent to the very processes of material being itself in all its manifestations. … Attending to such multiplicity, though, is not the same as offering a broad typology as the basis for distinguishing settler and Indigenous experiences of time—such as linear versus circular or having a sensibility based on time versus one based on space. These </w:t>
      </w:r>
      <w:r>
        <w:rPr>
          <w:b/>
          <w:color w:val="000000"/>
        </w:rPr>
        <w:t>blanket descriptions tend to freeze the terms (settlers and Indigenous peoples, as well as time and space) into a static opposition</w:t>
      </w:r>
      <w:r>
        <w:rPr>
          <w:color w:val="000000"/>
        </w:rPr>
        <w:t xml:space="preserve"> that denies internal forms of difference as well as meaningful relation.53 / 19 Key question: How can we account for the relation of experience in the present to what’s come before, the pace and rhythms of how events unfold, the sensations and inclinations of moving toward what’s to come, the implicit itinerary/</w:t>
      </w:r>
      <w:proofErr w:type="spellStart"/>
      <w:r>
        <w:rPr>
          <w:color w:val="000000"/>
        </w:rPr>
        <w:t>ies</w:t>
      </w:r>
      <w:proofErr w:type="spellEnd"/>
      <w:r>
        <w:rPr>
          <w:color w:val="000000"/>
        </w:rPr>
        <w:t xml:space="preserve"> in which one is immersed, the modes of temporal cross-referencing through which moments gain relative significance, and the stories that guide one’s ways of being and becoming? / 23 @Para@SpaceTime: “In a space which is homogeneous and infinitely divisible, we draw, in imagination, a trajectory and fix positions: afterwards, applying the movement to the trajectory, we see it divisible like the line we have drawn, and equally denuded of quality.”75 In order to understand time, according to Bergson, we must treat it as constantly in motion and, thus, not divisible into discrete units. </w:t>
      </w:r>
    </w:p>
    <w:p w14:paraId="7BFC82E8"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2136F3D9" w14:textId="77777777" w:rsidR="00076776" w:rsidRDefault="00000000">
      <w:pPr>
        <w:pStyle w:val="Heading2"/>
      </w:pPr>
      <w:r>
        <w:t>Notes</w:t>
      </w:r>
    </w:p>
    <w:p w14:paraId="54357F28"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highlight w:val="green"/>
        </w:rPr>
        <w:t>2-3 @ManDest@</w:t>
      </w:r>
      <w:proofErr w:type="gramStart"/>
      <w:r>
        <w:rPr>
          <w:color w:val="000000"/>
          <w:highlight w:val="green"/>
        </w:rPr>
        <w:t>K?@</w:t>
      </w:r>
      <w:proofErr w:type="gramEnd"/>
      <w:r>
        <w:rPr>
          <w:color w:val="000000"/>
          <w:highlight w:val="green"/>
        </w:rPr>
        <w:t>FFessay</w:t>
      </w:r>
      <w:r>
        <w:rPr>
          <w:color w:val="000000"/>
        </w:rPr>
        <w:t>@IKSG</w:t>
      </w:r>
    </w:p>
    <w:p w14:paraId="235C0BA2"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roofErr w:type="spellStart"/>
      <w:r>
        <w:rPr>
          <w:color w:val="000000"/>
        </w:rPr>
        <w:t>R.e</w:t>
      </w:r>
      <w:proofErr w:type="spellEnd"/>
      <w:r>
        <w:rPr>
          <w:color w:val="000000"/>
        </w:rPr>
        <w:t xml:space="preserve">., </w:t>
      </w:r>
    </w:p>
    <w:p w14:paraId="1D37011F"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pPr>
      <w:r>
        <w:rPr>
          <w:color w:val="000000"/>
        </w:rPr>
        <w:t xml:space="preserve">Being oriented, having a feeling of place and self in relation to other places and selves as well as a feeling of where one is going and the pace at which one is heading there, entails moving </w:t>
      </w:r>
      <w:proofErr w:type="gramStart"/>
      <w:r>
        <w:rPr>
          <w:color w:val="000000"/>
        </w:rPr>
        <w:t>in particular directions</w:t>
      </w:r>
      <w:proofErr w:type="gramEnd"/>
      <w:r>
        <w:rPr>
          <w:color w:val="000000"/>
        </w:rPr>
        <w:t xml:space="preserve"> in line with extant patterns. // This persistent (and largely unwilled) regeneration of continuity not only happens “in time” but is the substance, feel, and force of time unfolding.</w:t>
      </w:r>
      <w:r>
        <w:rPr>
          <w:color w:val="000000"/>
          <w:vertAlign w:val="superscript"/>
        </w:rPr>
        <w:t>4</w:t>
      </w:r>
    </w:p>
    <w:p w14:paraId="6232CFBC"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52585875"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 xml:space="preserve">At what point, if at all, do the definitions of temporality and manifest destiny intersect? How do we reconcile our individual narratives with collective ones, and through which legitimizing bodies? On the @ManDest front, I can find ways in which the very presence of Indigenous Peoples undermines the obvious settler-as-conqueror narrative, but I think the more subtle reading would require a look at the ways in which Enlightenment-science ontologies—itself a narrative—have influenced the presumed outcomes of settler-manifest-destiny. Is the settler-endgame that everyone is wealthy, rational, efficient, and unchallenged in every way (nutritionally, politically, spiritually, culturally)? In other words, is the “frontier” finally tamed? And, to what extent is all this thinking inflected by a settler-psychology that expects and afterlife, which is supposed to be “eternal,” and therefore timeless? </w:t>
      </w:r>
    </w:p>
    <w:p w14:paraId="22464F55"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7E5E26A6"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21 @Knote@SpaceTime@CounteArg</w:t>
      </w:r>
    </w:p>
    <w:p w14:paraId="7CFDA609"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29D7B184"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If “time is, in West-Pavlov’s terms quoted earlier, an external “measuring stick” separate from the contents and processes within any given inertial frame of reference,” and “relative” to the perceiver, then how is it even possible to expand Rifkin’s investigations to a cultural scale? Would it not be the case that time would have to be relative, regardless? As such, what it seems Rifkin is looking at is the narrativization of time as a conceptual framework, as a kind of ontological component. He glances at this question in this passage:</w:t>
      </w:r>
    </w:p>
    <w:p w14:paraId="52C1CD60"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6FF0AD18"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color w:val="000000"/>
        </w:rPr>
      </w:pPr>
      <w:r>
        <w:rPr>
          <w:color w:val="000000"/>
        </w:rPr>
        <w:t xml:space="preserve">This process of quantifying and mathematizing time, though, runs up against the problem of whether the ticking of clocks and the calculation of the relation among points and trajectories in a four-dimensional spacetime can account for the forms of lived experience also encompassed by the concept of time. (22) </w:t>
      </w:r>
    </w:p>
    <w:p w14:paraId="7F2D6E05"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0CE2C336"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24 @Knote@FFessay</w:t>
      </w:r>
    </w:p>
    <w:p w14:paraId="726798CD"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roofErr w:type="spellStart"/>
      <w:r>
        <w:rPr>
          <w:color w:val="000000"/>
        </w:rPr>
        <w:t>R.e</w:t>
      </w:r>
      <w:proofErr w:type="spellEnd"/>
      <w:r>
        <w:rPr>
          <w:color w:val="000000"/>
        </w:rPr>
        <w:t xml:space="preserve">., </w:t>
      </w:r>
    </w:p>
    <w:p w14:paraId="0B5DD46E"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29AB3F47"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pPr>
      <w:r>
        <w:rPr>
          <w:color w:val="000000"/>
        </w:rPr>
        <w:t xml:space="preserve">“These background structures are </w:t>
      </w:r>
      <w:r>
        <w:rPr>
          <w:b/>
          <w:color w:val="000000"/>
        </w:rPr>
        <w:t>the unconscious of physics</w:t>
      </w:r>
      <w:r>
        <w:rPr>
          <w:color w:val="000000"/>
        </w:rPr>
        <w:t>, silently shaping our thinking to give meaning to the basic concepts we use to imagine the world. We think we know what ‘position’ means because we are making unconscious assumptions about the existence of an absolute reference.”78</w:t>
      </w:r>
    </w:p>
    <w:p w14:paraId="29A74CED"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123EFA8A"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highlight w:val="red"/>
        </w:rPr>
        <w:t>The unconscious underpinnings of physics could serve as the temporal equivalent of the presumed neutrality of technology and maps.</w:t>
      </w:r>
      <w:r>
        <w:rPr>
          <w:color w:val="000000"/>
        </w:rPr>
        <w:t xml:space="preserve"> </w:t>
      </w:r>
    </w:p>
    <w:p w14:paraId="151E3CD4" w14:textId="77777777" w:rsidR="00076776" w:rsidRDefault="00076776">
      <w:pPr>
        <w:rPr>
          <w:color w:val="000000"/>
        </w:rPr>
      </w:pPr>
    </w:p>
    <w:p w14:paraId="44104970" w14:textId="77777777" w:rsidR="00076776" w:rsidRDefault="00000000">
      <w:r>
        <w:rPr>
          <w:color w:val="000000"/>
        </w:rPr>
        <w:t xml:space="preserve">34, </w:t>
      </w:r>
      <w:proofErr w:type="spellStart"/>
      <w:r>
        <w:rPr>
          <w:color w:val="000000"/>
        </w:rPr>
        <w:t>r.e</w:t>
      </w:r>
      <w:proofErr w:type="spellEnd"/>
      <w:r>
        <w:rPr>
          <w:color w:val="000000"/>
        </w:rPr>
        <w:t xml:space="preserve">., </w:t>
      </w:r>
      <w:r>
        <w:rPr>
          <w:b/>
          <w:color w:val="000000"/>
        </w:rPr>
        <w:t>story</w:t>
      </w:r>
      <w:r>
        <w:rPr>
          <w:color w:val="000000"/>
        </w:rPr>
        <w:t xml:space="preserve">: [@DubClaim@Narr@CounterArg] </w:t>
      </w:r>
    </w:p>
    <w:p w14:paraId="3FDE1EE9" w14:textId="77777777" w:rsidR="00076776" w:rsidRDefault="00000000">
      <w:pPr>
        <w:ind w:left="720"/>
      </w:pPr>
      <w:r>
        <w:rPr>
          <w:color w:val="000000"/>
        </w:rPr>
        <w:t>“Human beings have no other way of knowing that we exist, or what we have survived, except through the vehicle of story.”</w:t>
      </w:r>
      <w:r>
        <w:rPr>
          <w:color w:val="000000"/>
          <w:vertAlign w:val="superscript"/>
        </w:rPr>
        <w:t>113</w:t>
      </w:r>
      <w:r>
        <w:rPr>
          <w:color w:val="000000"/>
        </w:rPr>
        <w:t xml:space="preserve"> [Source: </w:t>
      </w:r>
      <w:r>
        <w:rPr>
          <w:color w:val="000000"/>
          <w:highlight w:val="magenta"/>
        </w:rPr>
        <w:t>Miranda, Deborah</w:t>
      </w:r>
      <w:r>
        <w:rPr>
          <w:color w:val="000000"/>
        </w:rPr>
        <w:t xml:space="preserve"> A. </w:t>
      </w:r>
      <w:r>
        <w:rPr>
          <w:i/>
          <w:color w:val="000000"/>
        </w:rPr>
        <w:t>Bad Indians: A Tribal Memoir</w:t>
      </w:r>
      <w:r>
        <w:rPr>
          <w:color w:val="000000"/>
        </w:rPr>
        <w:t>. Berkeley, CA: Heyday, 2013, p. 135.] … Stories help provide the background for Indigenous experiences of time, shaping perceptual traditions while also influencing sensations of what’s possible.</w:t>
      </w:r>
    </w:p>
    <w:p w14:paraId="4754A696"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1587AF72"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I *want* to agree with this assertion, but I do not. I am all over the idea of narrative’s existence in places that </w:t>
      </w:r>
      <w:r>
        <w:rPr>
          <w:i/>
          <w:color w:val="000000"/>
        </w:rPr>
        <w:t>seem</w:t>
      </w:r>
      <w:r>
        <w:rPr>
          <w:color w:val="000000"/>
        </w:rPr>
        <w:t xml:space="preserve"> to lack it: after all, it seems to me that at a certain level, when the math fails, the Big Bang is a creation narrative. Through Lee Smolin, Rifkin touches on this capacity for something approaching a scientific narration, through physics: </w:t>
      </w:r>
    </w:p>
    <w:p w14:paraId="116271EC"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08B9257B"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pPr>
      <w:r>
        <w:rPr>
          <w:color w:val="000000"/>
        </w:rPr>
        <w:t>“These background structures are the unconscious of physics, silently shaping our thinking to give meaning to the basic concepts we use to imagine the world. We think we know what ‘position’ means because we are making unconscious assumptions about the existence of an absolute reference.”</w:t>
      </w:r>
      <w:r>
        <w:rPr>
          <w:color w:val="000000"/>
          <w:vertAlign w:val="superscript"/>
        </w:rPr>
        <w:t>78</w:t>
      </w:r>
      <w:r>
        <w:rPr>
          <w:color w:val="000000"/>
        </w:rPr>
        <w:t xml:space="preserve"> (24)</w:t>
      </w:r>
    </w:p>
    <w:p w14:paraId="41DFA2BF"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3B7342AB"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However, I think that this statement makes several contestable </w:t>
      </w:r>
      <w:proofErr w:type="gramStart"/>
      <w:r>
        <w:rPr>
          <w:color w:val="000000"/>
        </w:rPr>
        <w:t>assumptions, and</w:t>
      </w:r>
      <w:proofErr w:type="gramEnd"/>
      <w:r>
        <w:rPr>
          <w:color w:val="000000"/>
        </w:rPr>
        <w:t xml:space="preserve"> depends heavily on the culturally relative understandings of what a story is made. It also conflates illogically two disparate assertions: (1) that “Human beings have no other way of knowing that we exist” and </w:t>
      </w:r>
      <w:r>
        <w:rPr>
          <w:color w:val="000000"/>
        </w:rPr>
        <w:lastRenderedPageBreak/>
        <w:t>(2) “Human beings have no other way of knowing … what we have survived.” This latter assumption assumes that story and memory are codependent, and I am not convinced that this is so. For example, it ignores entirely genetically inherited traits and behaviours. The former assertion is also thin because it is possible to know one “exists” by seeing one’s shadow or reflection in a pool—in other words, the quote fails to clarify the premise for existence, to which I say boo! On page 27</w:t>
      </w:r>
      <w:r>
        <w:t xml:space="preserve">, Rifkin mentions this: </w:t>
      </w:r>
    </w:p>
    <w:p w14:paraId="4FD16653"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pPr>
    </w:p>
    <w:p w14:paraId="2F4F4D94"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pPr>
      <w:r>
        <w:t xml:space="preserve">Engagement in the present is shaped and made possible by the “historical density” of a person’s accreted experiences, a </w:t>
      </w:r>
      <w:proofErr w:type="spellStart"/>
      <w:r>
        <w:t>a</w:t>
      </w:r>
      <w:proofErr w:type="spellEnd"/>
      <w:r>
        <w:t xml:space="preserve"> legacy that bears on the current moment by necessarily situating it within an extant “perceptual tradition” that is formed by the life one has lived up to that point and without which current stimuli would have no appreciable meaning.</w:t>
      </w:r>
      <w:r>
        <w:rPr>
          <w:vertAlign w:val="superscript"/>
        </w:rPr>
        <w:t>90</w:t>
      </w:r>
      <w:r>
        <w:t xml:space="preserve"> </w:t>
      </w:r>
    </w:p>
    <w:p w14:paraId="105FEEED"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B5DAA80"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So, if we remove memory, do we remove cultural transmission?</w:t>
      </w:r>
    </w:p>
    <w:p w14:paraId="6362D760"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61ED66C6"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@Diss reading</w:t>
      </w:r>
    </w:p>
    <w:p w14:paraId="6B8C9F28" w14:textId="77777777" w:rsidR="00076776" w:rsidRDefault="00000000">
      <w:r>
        <w:rPr>
          <w:color w:val="000000"/>
        </w:rPr>
        <w:t xml:space="preserve">Smith, Paul Chaat. </w:t>
      </w:r>
      <w:r>
        <w:rPr>
          <w:i/>
          <w:color w:val="000000"/>
        </w:rPr>
        <w:t>Everything You Know about Indians Is Wrong</w:t>
      </w:r>
      <w:r>
        <w:rPr>
          <w:color w:val="000000"/>
        </w:rPr>
        <w:t>. Minneapolis: University</w:t>
      </w:r>
    </w:p>
    <w:p w14:paraId="0CC2AA96"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of Minnesota Press, 2009.</w:t>
      </w:r>
    </w:p>
    <w:p w14:paraId="2316E2EF"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 xml:space="preserve"> </w:t>
      </w:r>
    </w:p>
    <w:p w14:paraId="400CA545"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402D159E" w14:textId="77777777" w:rsidR="00076776" w:rsidRDefault="00000000">
      <w:pPr>
        <w:pStyle w:val="Heading1"/>
      </w:pPr>
      <w:bookmarkStart w:id="18" w:name="_heading=h.2jxsxqh" w:colFirst="0" w:colLast="0"/>
      <w:bookmarkEnd w:id="18"/>
      <w:r>
        <w:t xml:space="preserve">(2018) Asch, Borrows, Tully, </w:t>
      </w:r>
      <w:r>
        <w:rPr>
          <w:i/>
        </w:rPr>
        <w:t>Resurgence and Reconciliation: Indigenous-Settler Relations and Earth Teachings</w:t>
      </w:r>
    </w:p>
    <w:p w14:paraId="1CA3282A" w14:textId="77777777" w:rsidR="00076776" w:rsidRDefault="00000000">
      <w:pPr>
        <w:pStyle w:val="Heading2"/>
        <w:keepLines w:val="0"/>
        <w:numPr>
          <w:ilvl w:val="1"/>
          <w:numId w:val="5"/>
        </w:numPr>
        <w:spacing w:before="200" w:after="120"/>
      </w:pPr>
      <w:r>
        <w:t>Introduction</w:t>
      </w:r>
    </w:p>
    <w:p w14:paraId="3A489DF6" w14:textId="77777777" w:rsidR="00076776" w:rsidRDefault="00076776"/>
    <w:p w14:paraId="0EE0C3E2" w14:textId="77777777" w:rsidR="00076776" w:rsidRDefault="00000000">
      <w:pPr>
        <w:pStyle w:val="Heading3"/>
      </w:pPr>
      <w:r>
        <w:t>Abstract</w:t>
      </w:r>
    </w:p>
    <w:p w14:paraId="5FC75C96" w14:textId="77777777" w:rsidR="00076776" w:rsidRDefault="00000000">
      <w:pPr>
        <w:numPr>
          <w:ilvl w:val="1"/>
          <w:numId w:val="6"/>
        </w:numPr>
        <w:pBdr>
          <w:top w:val="nil"/>
          <w:left w:val="nil"/>
          <w:bottom w:val="nil"/>
          <w:right w:val="nil"/>
          <w:between w:val="nil"/>
        </w:pBdr>
        <w:spacing w:after="140" w:line="276" w:lineRule="auto"/>
        <w:rPr>
          <w:color w:val="000000"/>
        </w:rPr>
      </w:pPr>
      <w:r>
        <w:rPr>
          <w:color w:val="000000"/>
        </w:rPr>
        <w:t xml:space="preserve">An investigation in the fluid and various meanings, and applications, of the terms “reconciliation and resurgence, with chapter summaries for the 11 essays in the anthology. </w:t>
      </w:r>
    </w:p>
    <w:p w14:paraId="7E37DC20" w14:textId="77777777" w:rsidR="00076776" w:rsidRDefault="00000000">
      <w:pPr>
        <w:pStyle w:val="Heading3"/>
      </w:pPr>
      <w:r>
        <w:t>Key words</w:t>
      </w:r>
    </w:p>
    <w:p w14:paraId="4004BE92" w14:textId="77777777" w:rsidR="00076776" w:rsidRDefault="00000000">
      <w:r>
        <w:t>Resurgence, reconciliation, Indigenous ways of knowing, colonialism, government, laws</w:t>
      </w:r>
    </w:p>
    <w:p w14:paraId="110FC620" w14:textId="77777777" w:rsidR="00076776" w:rsidRDefault="00076776"/>
    <w:p w14:paraId="2530805C" w14:textId="77777777" w:rsidR="00076776" w:rsidRDefault="00000000">
      <w:pPr>
        <w:pStyle w:val="Heading3"/>
      </w:pPr>
      <w:r>
        <w:t>Essential quote</w:t>
      </w:r>
    </w:p>
    <w:p w14:paraId="50B90EE1" w14:textId="77777777" w:rsidR="00076776" w:rsidRDefault="00000000">
      <w:r>
        <w:t>4-5: Robust practices of resurgence often (though not always) need to be coordinated and nested within robust, non-violent, contentious relationships of transformative reconciliation with supportive settlers, just as practices of resurgence require the same kind of empowering contestation, coordination, and reconciliation within and among Indigenous communities.</w:t>
      </w:r>
    </w:p>
    <w:p w14:paraId="667CB630" w14:textId="77777777" w:rsidR="00076776" w:rsidRDefault="00076776"/>
    <w:p w14:paraId="59663138" w14:textId="77777777" w:rsidR="00076776" w:rsidRDefault="00000000">
      <w:pPr>
        <w:pStyle w:val="Heading3"/>
      </w:pPr>
      <w:r>
        <w:t>Terms</w:t>
      </w:r>
    </w:p>
    <w:p w14:paraId="407B0CC2" w14:textId="77777777" w:rsidR="00076776" w:rsidRDefault="00000000">
      <w:r>
        <w:t xml:space="preserve">5: </w:t>
      </w:r>
      <w:r>
        <w:rPr>
          <w:b/>
        </w:rPr>
        <w:t>reconciliation and resurgence</w:t>
      </w:r>
      <w:r>
        <w:t xml:space="preserve">:  In turning from critique to construction, we distinguish between two forms and meanings of reconciliation and resurgence. The first are those that </w:t>
      </w:r>
      <w:r>
        <w:lastRenderedPageBreak/>
        <w:t xml:space="preserve">perpetuate unjust relationships of dispossession, domination, exploitation, and patriarchy. These reconcile Indigenous people and settlers to the status quo, and we strongly reject them. The second are those that have the potential to transform these unjust relationships; these are the kinds of ideas we seek to advance in this book. [7] Indigenous contributors to this volume cautiously argue that reconciliation and resurgence are more appropriate English terms for the unique, place-based, kin-centric, and relational ways Indigenous people conceive and enact transformative change, at least in comparison to Western theories of colonization/decolonization. Their view of transformative resurgence and reconciliation is grounded in Indigenous traditions of regenerating healthy and sustainable, gift-reciprocity relationships. </w:t>
      </w:r>
    </w:p>
    <w:p w14:paraId="4BA53908" w14:textId="77777777" w:rsidR="00076776" w:rsidRDefault="00000000">
      <w:pPr>
        <w:ind w:left="420"/>
      </w:pPr>
      <w:r>
        <w:t xml:space="preserve">4: </w:t>
      </w:r>
      <w:r>
        <w:rPr>
          <w:b/>
        </w:rPr>
        <w:t>reconciliation</w:t>
      </w:r>
      <w:r>
        <w:t xml:space="preserve">: [Bear in mind that this is a purposely inconclusive definition] For example, some say reconciliation between settlers and Indigenous peoples is an end state of some kind: a contract, agreement, legal recognition, return of stolen land, reparations, compensation, closing the gap, or self-determination. Others argue that it is more akin to an ongoing activity. Some say reconciliation embodies a relationship stretching back 12,000 years, an existential mode of being with one another and the living earth. It has also been associated with treaty relationships since early contact. For some it is the path to decolonization, for others a new form of recolonization. Some insist reconciliation must be resisted, while others see it as an essential process for ongoing relationality. [5] </w:t>
      </w:r>
      <w:r>
        <w:rPr>
          <w:b/>
        </w:rPr>
        <w:t>“transformative” reconciliation</w:t>
      </w:r>
      <w:r>
        <w:t>. ... must be empowered by robust practices of resurgence. Robust resurgence infuses reciprocal practices of reconciliation in self-determining,</w:t>
      </w:r>
    </w:p>
    <w:p w14:paraId="1C89B77C" w14:textId="77777777" w:rsidR="00076776" w:rsidRDefault="00000000">
      <w:pPr>
        <w:ind w:left="420"/>
      </w:pPr>
      <w:r>
        <w:t xml:space="preserve">self-sustaining, and inter-generational ways. </w:t>
      </w:r>
    </w:p>
    <w:p w14:paraId="6A50BFC6" w14:textId="77777777" w:rsidR="00076776" w:rsidRDefault="00000000">
      <w:pPr>
        <w:ind w:left="420"/>
      </w:pPr>
      <w:r>
        <w:t xml:space="preserve">4: </w:t>
      </w:r>
      <w:r>
        <w:rPr>
          <w:b/>
        </w:rPr>
        <w:t>resurgence</w:t>
      </w:r>
      <w:r>
        <w:t>: is often used to refer to Indigenous peoples exercising powers of self-determination outside of state structures and paradigms. It is deployed by communities as a force for reclaiming and reconnecting with traditional territories by means of Indigenous ways of knowing and being. These individual and collective powers include the resurgence of governance, Indigenous legal systems and languages, economic and social self-reliance, and sustainable relationships with the ecosystems that co-sustain all life and well-being. Resurgence also refers to analogous Indigenous practices in rural and urban centres, universities, prisons, other institutions, and global networks. Some see these as new activities. Others see them as ancient life ways that stretch back through the centuries.</w:t>
      </w:r>
      <w:r>
        <w:rPr>
          <w:b/>
        </w:rPr>
        <w:t xml:space="preserve"> Settlers also use the term</w:t>
      </w:r>
      <w:r>
        <w:t xml:space="preserve">. It can refer to </w:t>
      </w:r>
      <w:r>
        <w:rPr>
          <w:b/>
        </w:rPr>
        <w:t>decolonizing activities</w:t>
      </w:r>
      <w:r>
        <w:t>, enacted in alliance with Indigenous people or independently, yet in solidarity with them.</w:t>
      </w:r>
    </w:p>
    <w:p w14:paraId="36DA03D2" w14:textId="77777777" w:rsidR="00076776" w:rsidRDefault="00000000">
      <w:r>
        <w:t xml:space="preserve">5: </w:t>
      </w:r>
      <w:r>
        <w:rPr>
          <w:b/>
        </w:rPr>
        <w:t>recognition</w:t>
      </w:r>
      <w:r>
        <w:t>: We also acknowledge and accept critiques and refusals of certain types of “recognition” that place the state or its imperial networks at the centre of social, political, and economic affairs. Recognition can be a Trojan horse–like gift; state action often operates to overpower or deflect Indigenous resurgence.</w:t>
      </w:r>
    </w:p>
    <w:p w14:paraId="64D1508D" w14:textId="77777777" w:rsidR="00076776" w:rsidRDefault="00000000">
      <w:r>
        <w:t xml:space="preserve">8: </w:t>
      </w:r>
      <w:r>
        <w:rPr>
          <w:b/>
        </w:rPr>
        <w:t>rejection insurgency</w:t>
      </w:r>
      <w:r>
        <w:t xml:space="preserve">: [to describe the rejection of certain types of reconciliation and resurgence] From within these world views the problem with the simplifying and separating framework of rejection insurgency is that it constrains its adherents. It obscures the interdependent relationships in which they are already situated and from which they derive support. </w:t>
      </w:r>
    </w:p>
    <w:p w14:paraId="4D0C1314" w14:textId="77777777" w:rsidR="00076776" w:rsidRDefault="00076776"/>
    <w:p w14:paraId="6344C8A5" w14:textId="77777777" w:rsidR="00076776" w:rsidRDefault="00000000">
      <w:pPr>
        <w:pStyle w:val="Heading3"/>
      </w:pPr>
      <w:r>
        <w:t>Core quotes</w:t>
      </w:r>
    </w:p>
    <w:p w14:paraId="60D24EBC" w14:textId="77777777" w:rsidR="00076776" w:rsidRDefault="00000000">
      <w:r>
        <w:t>4-5 @Isr@Decol@Resist@IK</w:t>
      </w:r>
    </w:p>
    <w:p w14:paraId="7F23789B" w14:textId="77777777" w:rsidR="00076776" w:rsidRDefault="00000000">
      <w:pPr>
        <w:ind w:left="420"/>
      </w:pPr>
      <w:r>
        <w:t xml:space="preserve">Robust practices of resurgence often (though not always) need to be coordinated and nested within robust, non-violent, contentious relationships of transformative reconciliation with </w:t>
      </w:r>
      <w:r>
        <w:lastRenderedPageBreak/>
        <w:t>supportive settlers, just as practices of resurgence require the same kind of empowering contestation, coordination, and reconciliation within and among Indigenous communities.</w:t>
      </w:r>
    </w:p>
    <w:p w14:paraId="0ED6CB3F" w14:textId="77777777" w:rsidR="00076776" w:rsidRDefault="00076776"/>
    <w:p w14:paraId="613FE9CE" w14:textId="77777777" w:rsidR="00076776" w:rsidRDefault="00000000">
      <w:r>
        <w:t>7 @NeoLib@Decol@SettState@SJ@Pow</w:t>
      </w:r>
    </w:p>
    <w:p w14:paraId="6BF96D55" w14:textId="77777777" w:rsidR="00076776" w:rsidRDefault="00000000">
      <w:pPr>
        <w:ind w:left="420"/>
      </w:pPr>
      <w:r>
        <w:rPr>
          <w:b/>
        </w:rPr>
        <w:t xml:space="preserve">The idea we are advancing of “reconciliation and resurgence” acknowledges our situatedness in overlapping regimes of knowledge, power, and subjectification. </w:t>
      </w:r>
      <w:r>
        <w:t xml:space="preserve">It is attentive to situated freedom. This approach claims that we are all differently situated and governed, in both constraining and enabling ways, in relationships of division, patriarchy, imperialism, racism, capitalism, ecological devastation, and poverty. In our view, the failure to illuminate broader and more complex intersectional fields of power was one reason why the colonization/decolonization binary did not lead the way to Third World liberation. It might even be said that such dichotomies led to deeper forms of neocolonialism, dependency, inequality, and patriarchy in Third World settings. </w:t>
      </w:r>
      <w:r>
        <w:rPr>
          <w:b/>
        </w:rPr>
        <w:t>Global neoliberalism has thrived in such settings</w:t>
      </w:r>
      <w:r>
        <w:t>.</w:t>
      </w:r>
      <w:r>
        <w:rPr>
          <w:vertAlign w:val="superscript"/>
        </w:rPr>
        <w:t xml:space="preserve">5 </w:t>
      </w:r>
      <w:r>
        <w:t>[Footnote: It might be said that the adoption of a separatist resurgence by the Black Power movement in North America had similar results. See the searching analysis of this in Martin Luther King Junior, Where Do We Go from Here: Chaos or Community? (Boston: Beacon, 1968).</w:t>
      </w:r>
    </w:p>
    <w:p w14:paraId="5AE44C7D" w14:textId="77777777" w:rsidR="00076776" w:rsidRDefault="00076776">
      <w:pPr>
        <w:ind w:left="420"/>
      </w:pPr>
    </w:p>
    <w:p w14:paraId="035745EF" w14:textId="77777777" w:rsidR="00076776" w:rsidRDefault="00000000">
      <w:r>
        <w:t xml:space="preserve">8 </w:t>
      </w:r>
      <w:proofErr w:type="spellStart"/>
      <w:r>
        <w:t>Isr@Hist@IndHst@Poco</w:t>
      </w:r>
      <w:proofErr w:type="spellEnd"/>
    </w:p>
    <w:p w14:paraId="4622923A" w14:textId="77777777" w:rsidR="00076776" w:rsidRDefault="00000000">
      <w:r>
        <w:t>This is the key distinction between 3</w:t>
      </w:r>
      <w:r>
        <w:rPr>
          <w:vertAlign w:val="superscript"/>
        </w:rPr>
        <w:t>rd</w:t>
      </w:r>
      <w:r>
        <w:t xml:space="preserve"> and 4</w:t>
      </w:r>
      <w:r>
        <w:rPr>
          <w:vertAlign w:val="superscript"/>
        </w:rPr>
        <w:t>th</w:t>
      </w:r>
      <w:r>
        <w:t xml:space="preserve"> world understandings: </w:t>
      </w:r>
    </w:p>
    <w:p w14:paraId="3750A1F3" w14:textId="77777777" w:rsidR="00076776" w:rsidRDefault="00000000">
      <w:pPr>
        <w:ind w:left="420"/>
      </w:pPr>
      <w:r>
        <w:t>The Two Row Wampum Treaty relationship (</w:t>
      </w:r>
      <w:proofErr w:type="spellStart"/>
      <w:r>
        <w:rPr>
          <w:i/>
        </w:rPr>
        <w:t>Kaswentha</w:t>
      </w:r>
      <w:proofErr w:type="spellEnd"/>
      <w:r>
        <w:t xml:space="preserve">) combines both self-rule and shared rule; the Royal Proclamation of 1763 (when understood </w:t>
      </w:r>
      <w:proofErr w:type="gramStart"/>
      <w:r>
        <w:t>in light of</w:t>
      </w:r>
      <w:proofErr w:type="gramEnd"/>
      <w:r>
        <w:t xml:space="preserve"> the Treaty of Niagara in 1764) further recognizes independence and interdependence in Indigenous–settler relationships. Many Indigenous understandings of self-determination are often internally related to declarations of interdependence, in contrast to Third World declarations of self-determination as disconnection and independence. ... Resurgence has often been combined with demands for transformative reconciliation in contemporary political life </w:t>
      </w:r>
      <w:r>
        <w:rPr>
          <w:b/>
        </w:rPr>
        <w:t>through nation-to-nation negotiations,</w:t>
      </w:r>
      <w:r>
        <w:t xml:space="preserve"> Idle No More activities, anti-pipeline protests, environmental activism, alliances such as Standing with Standing</w:t>
      </w:r>
    </w:p>
    <w:p w14:paraId="2B61A9D1" w14:textId="77777777" w:rsidR="00076776" w:rsidRDefault="00000000">
      <w:pPr>
        <w:ind w:left="420"/>
      </w:pPr>
      <w:r>
        <w:t>Rock, and so on. // In practice, independence and interdependence have characterized Indigenous–settler relationships for centuries, for good and ill.10</w:t>
      </w:r>
    </w:p>
    <w:p w14:paraId="5CBC75CA" w14:textId="77777777" w:rsidR="00076776" w:rsidRDefault="00076776"/>
    <w:p w14:paraId="44FFAF6F" w14:textId="77777777" w:rsidR="00076776" w:rsidRDefault="00000000">
      <w:r>
        <w:t>11 @Isr@Decol@Ontol@Map@FFessay@Epistem</w:t>
      </w:r>
    </w:p>
    <w:p w14:paraId="1FFA0221" w14:textId="77777777" w:rsidR="00076776" w:rsidRDefault="00000000">
      <w:pPr>
        <w:ind w:left="420"/>
      </w:pPr>
      <w:bookmarkStart w:id="19" w:name="_heading=h.z337ya" w:colFirst="0" w:colLast="0"/>
      <w:bookmarkEnd w:id="19"/>
      <w:r>
        <w:t xml:space="preserve">By listening carefully and asking and answering questions truthfully in turn, participants [in reconciliation] learn or are reminded that it is illusory to presume that their views are the comprehensive view of the field. ... Engagement in these exchanges also exposes the limits of one’s own view and makes possible the self-critical task of accepting the epistemically humbling insight that we need each other’s perspectives </w:t>
      </w:r>
      <w:proofErr w:type="gramStart"/>
      <w:r>
        <w:t>in order to</w:t>
      </w:r>
      <w:proofErr w:type="gramEnd"/>
      <w:r>
        <w:t xml:space="preserve"> understand the complex world we co-inhabit. This difficult reciprocal transformation of how we understand ourselves and others enables participants to understand the meanings of reconciliation and resurgence. [12] </w:t>
      </w:r>
      <w:r>
        <w:rPr>
          <w:b/>
        </w:rPr>
        <w:t>Learning how to use the words reconciliation and resurgence in this intersubjective and interdependent dialogical way</w:t>
      </w:r>
      <w:r>
        <w:t xml:space="preserve"> is akin to Indigenous storytelling. It is also said to be the way good treaty negotiations were begun in the early contact period. It was acknowledged in the Royal Proclamation of 1763 and exemplified in the Treaty of Niagara in 1764. </w:t>
      </w:r>
    </w:p>
    <w:p w14:paraId="5530666E" w14:textId="77777777" w:rsidR="00076776" w:rsidRDefault="00076776"/>
    <w:p w14:paraId="3CD67DE0" w14:textId="77777777" w:rsidR="00076776" w:rsidRDefault="00000000">
      <w:r>
        <w:lastRenderedPageBreak/>
        <w:t>12 @Isr@IK@SettPsych@CogDiss</w:t>
      </w:r>
    </w:p>
    <w:p w14:paraId="0BA7D425" w14:textId="77777777" w:rsidR="00076776" w:rsidRDefault="00000000">
      <w:r>
        <w:t xml:space="preserve">On being comfortable with cognitive </w:t>
      </w:r>
      <w:proofErr w:type="spellStart"/>
      <w:r>
        <w:t>dissocance</w:t>
      </w:r>
      <w:proofErr w:type="spellEnd"/>
      <w:r>
        <w:t xml:space="preserve"> within reconciliation work, based on the </w:t>
      </w:r>
      <w:proofErr w:type="spellStart"/>
      <w:r>
        <w:t>diologic</w:t>
      </w:r>
      <w:proofErr w:type="spellEnd"/>
      <w:r>
        <w:t xml:space="preserve"> approach in </w:t>
      </w:r>
      <w:proofErr w:type="gramStart"/>
      <w:r>
        <w:t>the  Royal</w:t>
      </w:r>
      <w:proofErr w:type="gramEnd"/>
      <w:r>
        <w:t xml:space="preserve"> Proclamation of 1763 and exemplified in the Treaty of Niagara in 1764. </w:t>
      </w:r>
    </w:p>
    <w:p w14:paraId="408233C8" w14:textId="77777777" w:rsidR="00076776" w:rsidRDefault="00000000">
      <w:pPr>
        <w:ind w:left="420"/>
      </w:pPr>
      <w:r>
        <w:t xml:space="preserve">“One mind” did not seem to refer to complete agreement, but to understanding each other, holding all views in tension. Then reconciliation negotiations began. </w:t>
      </w:r>
      <w:proofErr w:type="gramStart"/>
      <w:r>
        <w:t>So</w:t>
      </w:r>
      <w:proofErr w:type="gramEnd"/>
      <w:r>
        <w:t xml:space="preserve"> this form of dialogue can be seen as a pathway of and to reconciliation. As </w:t>
      </w:r>
      <w:r>
        <w:rPr>
          <w:highlight w:val="magenta"/>
        </w:rPr>
        <w:t>Asch</w:t>
      </w:r>
      <w:r>
        <w:t xml:space="preserve"> characterizes it from a settler perspective in chapter 1, it consists in coming to enough of an understanding to take small steps forward in building relationships with those already here.</w:t>
      </w:r>
    </w:p>
    <w:p w14:paraId="5E095D2A" w14:textId="77777777" w:rsidR="00076776" w:rsidRDefault="00076776">
      <w:pPr>
        <w:ind w:left="420"/>
      </w:pPr>
    </w:p>
    <w:p w14:paraId="28480879" w14:textId="77777777" w:rsidR="00076776" w:rsidRDefault="00000000">
      <w:pPr>
        <w:pStyle w:val="Heading3"/>
      </w:pPr>
      <w:r>
        <w:t>Secondary quotes</w:t>
      </w:r>
    </w:p>
    <w:p w14:paraId="6E79D93B" w14:textId="77777777" w:rsidR="00076776" w:rsidRDefault="00000000">
      <w:proofErr w:type="gramStart"/>
      <w:r>
        <w:t>6  The</w:t>
      </w:r>
      <w:proofErr w:type="gramEnd"/>
      <w:r>
        <w:t xml:space="preserve"> binary of Third World decolonization and master-slave dialectics of the 1950s and 1960s was pulled into some Indigenous studies circles in ways that reject reconciliation in broad terms. ... . Differences in temporal, spatial, and socioeconomic circumstances were flattened and universalized. Ideas were essentialized, and deficiencies in Third World decolonization were often overlooked. / . Some held that even the participation in workshops of Indigenous and settler participants, such as ours, was to be colonized.4 / 9 Since we cannot depend upon a fusion of horizons, we are left to engage in endless forms of talking, non-violent contention, and working with good and bad neighbours </w:t>
      </w:r>
      <w:proofErr w:type="spellStart"/>
      <w:r>
        <w:rPr>
          <w:i/>
        </w:rPr>
        <w:t>en</w:t>
      </w:r>
      <w:proofErr w:type="spellEnd"/>
      <w:r>
        <w:rPr>
          <w:i/>
        </w:rPr>
        <w:t xml:space="preserve"> passant</w:t>
      </w:r>
      <w:r>
        <w:t>, as difficult and challenging as this has always been. Since this volume is assembled on the northwest coast, it is worth noting that this is precisely what a formidable coalition of First Nations and allied settlers, assembled in Kamloops on 25 August 1910, recommended in their submission to Prime Minister Laurier in what is now known as “</w:t>
      </w:r>
      <w:r>
        <w:rPr>
          <w:b/>
        </w:rPr>
        <w:t>The Laurier Memorial</w:t>
      </w:r>
      <w:r>
        <w:t xml:space="preserve">.”11 </w:t>
      </w:r>
    </w:p>
    <w:p w14:paraId="538F8D04" w14:textId="77777777" w:rsidR="00076776" w:rsidRDefault="00076776"/>
    <w:p w14:paraId="4521B18A" w14:textId="77777777" w:rsidR="00076776" w:rsidRDefault="00000000">
      <w:pPr>
        <w:pStyle w:val="Heading3"/>
      </w:pPr>
      <w:r>
        <w:t>Notes</w:t>
      </w:r>
    </w:p>
    <w:p w14:paraId="38A4C1DE" w14:textId="77777777" w:rsidR="00076776" w:rsidRDefault="00000000">
      <w:r>
        <w:t>24 @Diss</w:t>
      </w:r>
    </w:p>
    <w:p w14:paraId="23AE271C" w14:textId="77777777" w:rsidR="00076776" w:rsidRDefault="00000000">
      <w:r>
        <w:t>For a synopsis of how these complementary visions of independence and interdependence were presented to and discussed at the Canadian Royal Commission on Aboriginal Peoples, 1991–5, see James Tully, “The Negotiation of Reconciliation,” in Democracy and Civic Freedom, 223–56 (Cambridge: Cambridge University Press, 2008).</w:t>
      </w:r>
    </w:p>
    <w:p w14:paraId="6B1F1F42" w14:textId="77777777" w:rsidR="00076776" w:rsidRDefault="00076776"/>
    <w:p w14:paraId="23FF08C3" w14:textId="77777777" w:rsidR="00076776" w:rsidRDefault="00000000">
      <w:pPr>
        <w:pStyle w:val="Heading2"/>
        <w:keepLines w:val="0"/>
        <w:numPr>
          <w:ilvl w:val="1"/>
          <w:numId w:val="5"/>
        </w:numPr>
        <w:spacing w:before="200" w:after="120"/>
      </w:pPr>
      <w:r>
        <w:t>Chapter 1: Asch, “Confederation Treaties and Reconciliation: Stepping Back into the Future”</w:t>
      </w:r>
    </w:p>
    <w:p w14:paraId="09FFD5F8" w14:textId="77777777" w:rsidR="00076776" w:rsidRDefault="00076776"/>
    <w:p w14:paraId="36C03641" w14:textId="77777777" w:rsidR="00076776" w:rsidRDefault="00000000">
      <w:pPr>
        <w:pStyle w:val="Heading3"/>
      </w:pPr>
      <w:r>
        <w:t>Abstract</w:t>
      </w:r>
    </w:p>
    <w:p w14:paraId="06EE2712" w14:textId="77777777" w:rsidR="00076776" w:rsidRDefault="00000000">
      <w:r>
        <w:t xml:space="preserve">Asch argues that reconciliation is stalled due to, in part, a failure for settlers to acknowledge and live up to the language and spirit of several core treaties. </w:t>
      </w:r>
    </w:p>
    <w:p w14:paraId="795D8DA4" w14:textId="77777777" w:rsidR="00076776" w:rsidRDefault="00076776"/>
    <w:p w14:paraId="150FBDF3" w14:textId="77777777" w:rsidR="00076776" w:rsidRDefault="00000000">
      <w:pPr>
        <w:pStyle w:val="Heading3"/>
      </w:pPr>
      <w:r>
        <w:t>Key words</w:t>
      </w:r>
    </w:p>
    <w:p w14:paraId="17F6C003" w14:textId="77777777" w:rsidR="00076776" w:rsidRDefault="00000000">
      <w:r>
        <w:t>treaty, land question, sovereignty, the Queen, Indigenous resurgence, reconciliation</w:t>
      </w:r>
    </w:p>
    <w:p w14:paraId="7030F76C" w14:textId="77777777" w:rsidR="00076776" w:rsidRDefault="00076776"/>
    <w:p w14:paraId="2190DD40" w14:textId="77777777" w:rsidR="00076776" w:rsidRDefault="00000000">
      <w:pPr>
        <w:pStyle w:val="Heading3"/>
      </w:pPr>
      <w:r>
        <w:lastRenderedPageBreak/>
        <w:t>Essential quote</w:t>
      </w:r>
    </w:p>
    <w:p w14:paraId="4D84B332" w14:textId="77777777" w:rsidR="00076776" w:rsidRDefault="00000000">
      <w:r>
        <w:t>39: That, then, was to be the arrangement: we would live together, sharing the land, and they would be protected from our excesses by the fact that they would have a direct relationship with the Queen (through the governor-general). In return, we would do our best to ensure that our presence on these lands was of benefit to them. Following from this, I am suggesting that the agreements we struck at that time offer us a path for reconciliation between Indigenous peoples and settlers today.</w:t>
      </w:r>
    </w:p>
    <w:p w14:paraId="76DB61EC" w14:textId="77777777" w:rsidR="00076776" w:rsidRDefault="00076776"/>
    <w:p w14:paraId="594895FD" w14:textId="77777777" w:rsidR="00076776" w:rsidRDefault="00000000">
      <w:pPr>
        <w:pStyle w:val="Heading3"/>
      </w:pPr>
      <w:r>
        <w:t>Terms</w:t>
      </w:r>
    </w:p>
    <w:p w14:paraId="50AF0378" w14:textId="77777777" w:rsidR="00076776" w:rsidRDefault="00000000">
      <w:r>
        <w:t xml:space="preserve">29: </w:t>
      </w:r>
      <w:r>
        <w:rPr>
          <w:b/>
        </w:rPr>
        <w:t>us</w:t>
      </w:r>
      <w:r>
        <w:t xml:space="preserve">: By “us,” I mean explicitly people like </w:t>
      </w:r>
      <w:proofErr w:type="gramStart"/>
      <w:r>
        <w:t>myself</w:t>
      </w:r>
      <w:proofErr w:type="gramEnd"/>
      <w:r>
        <w:t xml:space="preserve"> who are unequivocally members of the Settler community that originates with Europeans who began coming here with colonization and found when they arrived that there were peoples already here living in political societies; a group I am collectively calling Indigenous peoples.</w:t>
      </w:r>
    </w:p>
    <w:p w14:paraId="6524F665" w14:textId="77777777" w:rsidR="00076776" w:rsidRDefault="00000000">
      <w:r>
        <w:t xml:space="preserve">31: </w:t>
      </w:r>
      <w:r>
        <w:rPr>
          <w:b/>
          <w:highlight w:val="green"/>
        </w:rPr>
        <w:t>treaties</w:t>
      </w:r>
      <w:r>
        <w:t>: [@Treaty as narrative construction within confederation] “Before the new social order could be created, the old had to be displaced. Arrangements were made to extinguish Indian title to most of the fertile lands of the southern Prairies.”</w:t>
      </w:r>
      <w:r>
        <w:rPr>
          <w:vertAlign w:val="superscript"/>
        </w:rPr>
        <w:t>6</w:t>
      </w:r>
      <w:r>
        <w:t xml:space="preserve"> That is, </w:t>
      </w:r>
      <w:r>
        <w:rPr>
          <w:highlight w:val="green"/>
        </w:rPr>
        <w:t>the principal role of the treaties is to provide evidence to support the importance of certain events at the time of Confederation that indicate Canada’s progress to full maturity.</w:t>
      </w:r>
      <w:r>
        <w:t xml:space="preserve"> // In short, </w:t>
      </w:r>
      <w:r>
        <w:rPr>
          <w:b/>
        </w:rPr>
        <w:t>this narrative</w:t>
      </w:r>
      <w:r>
        <w:t xml:space="preserve"> creates the impression that treaty-making of any importance is an event that happened as a moment in our history and as one small step in the story we tell of our development as a civic nation. Treaties, then, are of little significance and certainly cannot be seen as central in reconciliation. [33] … </w:t>
      </w:r>
      <w:r>
        <w:rPr>
          <w:b/>
        </w:rPr>
        <w:t>treaties do not count for much</w:t>
      </w:r>
      <w:r>
        <w:t xml:space="preserve">, for the fact that Indigenous peoples were here when we first arrived is discounted. And in one sense, it is this disjunction between the fact that there were people already living here in political society with the representation of these lands as vacant that requires reconciliation. [34] The late leader </w:t>
      </w:r>
      <w:r>
        <w:rPr>
          <w:highlight w:val="magenta"/>
        </w:rPr>
        <w:t>Harold Cardinal</w:t>
      </w:r>
      <w:r>
        <w:t xml:space="preserve"> put it this way: “To the Indians of Canada, the treaties represent an </w:t>
      </w:r>
      <w:r>
        <w:rPr>
          <w:b/>
        </w:rPr>
        <w:t>Indian Magna Carta</w:t>
      </w:r>
      <w:r>
        <w:t xml:space="preserve">. The treaties are important to us, because we </w:t>
      </w:r>
      <w:proofErr w:type="gramStart"/>
      <w:r>
        <w:t>entered into</w:t>
      </w:r>
      <w:proofErr w:type="gramEnd"/>
      <w:r>
        <w:t xml:space="preserve"> these negotiations with faith, with hope for a better life with honour.”</w:t>
      </w:r>
      <w:r>
        <w:rPr>
          <w:vertAlign w:val="superscript"/>
        </w:rPr>
        <w:t>15</w:t>
      </w:r>
      <w:r>
        <w:t xml:space="preserve"> [Source: Harold Cardinal, </w:t>
      </w:r>
      <w:r>
        <w:rPr>
          <w:i/>
        </w:rPr>
        <w:t>The Unjust Society: The Tragedy of Canada’s Indians</w:t>
      </w:r>
    </w:p>
    <w:p w14:paraId="560D7ECB" w14:textId="77777777" w:rsidR="00076776" w:rsidRDefault="00000000">
      <w:r>
        <w:t xml:space="preserve">(Edmonton: Hurtig, 1969), 24.] [35] … to my knowledge, there is </w:t>
      </w:r>
      <w:r>
        <w:rPr>
          <w:b/>
        </w:rPr>
        <w:t>not one Indigenous political community that agrees that political authority was transferred in whole or in part in the treaties</w:t>
      </w:r>
      <w:r>
        <w:t>.</w:t>
      </w:r>
    </w:p>
    <w:p w14:paraId="5EC6267C" w14:textId="77777777" w:rsidR="00076776" w:rsidRDefault="00000000">
      <w:r>
        <w:t xml:space="preserve">32 </w:t>
      </w:r>
      <w:r>
        <w:rPr>
          <w:b/>
          <w:highlight w:val="green"/>
        </w:rPr>
        <w:t>temporal priority</w:t>
      </w:r>
      <w:r>
        <w:t xml:space="preserve">: Temporal priority (by which I mean the sequence of things) is a central tenet in our culture, one that we use to order relationships in matters that range from scientific explanations (cause and effect) to priorities in serving groups of people (those who come later are served later). … our dominant narrative relies on a belief that temporal priority does not apply, and to get there we have invented stories that have become the rationalizations we use to justify this proposition. [33] [@Treaty] There has also been from the outset those among us who have held firmly that the principle of temporal priority applies here and thus insisted that </w:t>
      </w:r>
      <w:r>
        <w:rPr>
          <w:b/>
        </w:rPr>
        <w:t>settlers needed permission to settle on these lands.</w:t>
      </w:r>
      <w:r>
        <w:t xml:space="preserve"> Treaty-making derives from this perspective, and in that respect at least </w:t>
      </w:r>
      <w:r>
        <w:rPr>
          <w:highlight w:val="magenta"/>
        </w:rPr>
        <w:t>Chief Justice Dickson</w:t>
      </w:r>
      <w:r>
        <w:t xml:space="preserve"> is wrong</w:t>
      </w:r>
      <w:r>
        <w:rPr>
          <w:b/>
        </w:rPr>
        <w:t>: the royal proclamation asserts that, regardless of who claims sovereignty and jurisdiction, settlers have no authority to move onto the lands of Indigenous peoples without their consent</w:t>
      </w:r>
      <w:r>
        <w:t>.</w:t>
      </w:r>
    </w:p>
    <w:p w14:paraId="72BF3CBC" w14:textId="77777777" w:rsidR="00076776" w:rsidRDefault="00000000">
      <w:r>
        <w:t xml:space="preserve">37: </w:t>
      </w:r>
      <w:r>
        <w:rPr>
          <w:b/>
        </w:rPr>
        <w:t>so-called famine clause</w:t>
      </w:r>
      <w:r>
        <w:t xml:space="preserve">: There is also a specific commitment in that treaty to ensure that our partners never go hungry. It is the so-called famine clause, and here is what it says: “That in the event hereafter of the Indians comprised within this treaty being overtaken by any pestilence, or by a general famine, the Queen, on being satisfied and certified thereof by Her Indian Agent or </w:t>
      </w:r>
      <w:r>
        <w:lastRenderedPageBreak/>
        <w:t>Agents, will grant to the Indians assistance of such character and to such extent as Her Chief Superintendent of Indian Affairs shall deem necessary and sufficient to relieve the Indians from the calamity that shall have befallen them.”</w:t>
      </w:r>
      <w:r>
        <w:rPr>
          <w:vertAlign w:val="superscript"/>
        </w:rPr>
        <w:t>31</w:t>
      </w:r>
    </w:p>
    <w:p w14:paraId="2D89E266" w14:textId="77777777" w:rsidR="00076776" w:rsidRDefault="00000000">
      <w:r>
        <w:t xml:space="preserve">37: </w:t>
      </w:r>
      <w:r>
        <w:rPr>
          <w:b/>
        </w:rPr>
        <w:t>cede-and-surrender clause</w:t>
      </w:r>
      <w:r>
        <w:t xml:space="preserve">: … it was intended to protect our partners from the authority of the dominion government by establishing a direct relationship with the Crown. As Elder </w:t>
      </w:r>
      <w:proofErr w:type="spellStart"/>
      <w:r>
        <w:t>Musqua</w:t>
      </w:r>
      <w:proofErr w:type="spellEnd"/>
      <w:r>
        <w:t xml:space="preserve"> says, the intent is that “[the Queen] will protect you from encroachment of taxpayers, and land speculators ... she will protect you from certain encroachment on your personal lives and your culture ... and from the settlers that will come.”</w:t>
      </w:r>
      <w:r>
        <w:rPr>
          <w:vertAlign w:val="superscript"/>
        </w:rPr>
        <w:t>33</w:t>
      </w:r>
      <w:r>
        <w:t xml:space="preserve"> And the method: “The Queen has adopted (First Nations) as children ... a joint relationship will come out of that. And so we have a joint relationship with the Crown because the Queen is now our mother.”</w:t>
      </w:r>
      <w:r>
        <w:rPr>
          <w:vertAlign w:val="superscript"/>
        </w:rPr>
        <w:t>34</w:t>
      </w:r>
      <w:r>
        <w:t xml:space="preserve"> … Lord Dufferin, who was governor-general at the time that Morris negotiated these treaties, making it clear that the intent is to ensure that Indigenous peoples do not come under the final authority of the dominion government: “You must remember that the Indian population is not represented in Parliament, and, consequently, that the </w:t>
      </w:r>
      <w:r>
        <w:rPr>
          <w:b/>
        </w:rPr>
        <w:t>Governor General</w:t>
      </w:r>
      <w:r>
        <w:t xml:space="preserve"> is bound to watch over their welfare and especial solicitude.”</w:t>
      </w:r>
      <w:r>
        <w:rPr>
          <w:vertAlign w:val="superscript"/>
        </w:rPr>
        <w:t>37</w:t>
      </w:r>
    </w:p>
    <w:p w14:paraId="1DBF1E53" w14:textId="77777777" w:rsidR="00076776" w:rsidRDefault="00000000">
      <w:r>
        <w:t xml:space="preserve">41: </w:t>
      </w:r>
      <w:r>
        <w:rPr>
          <w:b/>
        </w:rPr>
        <w:t>Magna Carta</w:t>
      </w:r>
      <w:r>
        <w:t xml:space="preserve">: [@FFessayas in its significance to settler law and identity: For settlers, one of the most basic of these, the origin of the rule of law, is embodied in the Magna Carta. As least for us, it is, as </w:t>
      </w:r>
      <w:r>
        <w:rPr>
          <w:highlight w:val="magenta"/>
        </w:rPr>
        <w:t>Lord Denning of the Law Lords of the Privy Council</w:t>
      </w:r>
      <w:r>
        <w:t xml:space="preserve"> said, “the greatest constitution document of all times – the foundation of the freedom of the individual against the arbitrary authority of the despot.”45 To respect the rule of law is a fundamental principle of our governance system. It is assumed governments will adhere to it, regardless of cost. // Right now, settlers do not see treaties in the same way. They </w:t>
      </w:r>
      <w:proofErr w:type="gramStart"/>
      <w:r>
        <w:t>are considered to be</w:t>
      </w:r>
      <w:proofErr w:type="gramEnd"/>
      <w:r>
        <w:t xml:space="preserve"> relatively insignificant in the story of our country, an event to be mentioned in the context of what is core to our story: the establishment of Confederation, and the passage of the British North America Act of 1867 that gave it political life.</w:t>
      </w:r>
    </w:p>
    <w:p w14:paraId="47FB23A1" w14:textId="77777777" w:rsidR="00076776" w:rsidRDefault="00000000">
      <w:r>
        <w:t xml:space="preserve">44-45: </w:t>
      </w:r>
      <w:r>
        <w:rPr>
          <w:b/>
          <w:highlight w:val="green"/>
        </w:rPr>
        <w:t>reconciliation</w:t>
      </w:r>
      <w:r>
        <w:t xml:space="preserve">: [as explained in the conclusion] Reconciliation will require words of apology and of commitment on our part. But it requires much more than that. We need do nothing less than radically change our behaviour so that our practices come into line with our </w:t>
      </w:r>
      <w:proofErr w:type="spellStart"/>
      <w:r>
        <w:t>val</w:t>
      </w:r>
      <w:proofErr w:type="spellEnd"/>
      <w:r>
        <w:t xml:space="preserve">- </w:t>
      </w:r>
      <w:proofErr w:type="spellStart"/>
      <w:r>
        <w:t>ues</w:t>
      </w:r>
      <w:proofErr w:type="spellEnd"/>
      <w:r>
        <w:t xml:space="preserve">. And here I am making two suggestions as to how to move quickly in this direction. The first is to demand that our governments’ </w:t>
      </w:r>
      <w:proofErr w:type="spellStart"/>
      <w:r>
        <w:t>interac</w:t>
      </w:r>
      <w:proofErr w:type="spellEnd"/>
      <w:r>
        <w:t xml:space="preserve">- </w:t>
      </w:r>
      <w:proofErr w:type="spellStart"/>
      <w:r>
        <w:t>tions</w:t>
      </w:r>
      <w:proofErr w:type="spellEnd"/>
      <w:r>
        <w:t xml:space="preserve"> with Indigenous peoples always conform to Morris’s promise as explained in the famine provision that “if a great blow comes on the Indians they would not be allowed to die like dogs.” … we must commit never again to take any actions without first gaining the assent of our partners. // Second, in my view to get there requires that the we imagine our his- tory as focused on the relationships we have built with those already living here in what was to us a New World rather than imagining it through the lens of our departure from those among whom we will never dwell again. By taking this path, we will by necessity come to see the centrality of relations with Indigenous peoples to our story, and through it the importance in our story of the solemn promises we made such as in Treaties 4 and 6 that legitimated our authority to live here in perpetuity. And from this it would follow that keeping those promises is inviolate, for to violate these promises is to invalidate our right to be here. And in that sense, following the lead of </w:t>
      </w:r>
      <w:r>
        <w:rPr>
          <w:highlight w:val="magenta"/>
        </w:rPr>
        <w:t>Harold Cardinal</w:t>
      </w:r>
      <w:r>
        <w:t>, we will come to understand that for us too treaties are our Magna Carta.</w:t>
      </w:r>
    </w:p>
    <w:p w14:paraId="0892AA4A" w14:textId="77777777" w:rsidR="00076776" w:rsidRDefault="00076776"/>
    <w:p w14:paraId="7D9B8157" w14:textId="77777777" w:rsidR="00076776" w:rsidRDefault="00000000">
      <w:pPr>
        <w:pStyle w:val="Heading3"/>
      </w:pPr>
      <w:r>
        <w:t>Core quotes</w:t>
      </w:r>
    </w:p>
    <w:p w14:paraId="51BDEA1B" w14:textId="77777777" w:rsidR="00076776" w:rsidRDefault="00000000">
      <w:r>
        <w:t>29-30 @FFessay@Thesis@Arg@ISr@SettPsych@SettState</w:t>
      </w:r>
    </w:p>
    <w:p w14:paraId="7DCADF41" w14:textId="77777777" w:rsidR="00076776" w:rsidRDefault="00000000">
      <w:pPr>
        <w:ind w:left="720"/>
      </w:pPr>
      <w:r>
        <w:lastRenderedPageBreak/>
        <w:t xml:space="preserve">I am suggesting that one central reason there is something wrong in our relationship is that, from the outset, Settlers and our governments have predominately acted as though Indigenous peoples did not live in societies that required our recognition or respect. That is, as a general trend we treated these lands as ours for the taking and Indigenous peoples as though they were our inferiors. </w:t>
      </w:r>
      <w:proofErr w:type="gramStart"/>
      <w:r>
        <w:rPr>
          <w:b/>
        </w:rPr>
        <w:t>So</w:t>
      </w:r>
      <w:proofErr w:type="gramEnd"/>
      <w:r>
        <w:rPr>
          <w:b/>
        </w:rPr>
        <w:t xml:space="preserve"> the point of reconciliation in this dimension is to reconcile our practices today with the certain knowledge that we have acted wrongly (even in our own ethical terms),</w:t>
      </w:r>
      <w:r>
        <w:t xml:space="preserve"> accept responsibility for the harms our actions have caused, and work to ensure that our actions and values in future come into accord. … My chapter, then, will focus on the significance of the treaties we made, around the time of Confederation, and particularly on the possibilities for instituting a rightful relationship on the terms these treaties offer.</w:t>
      </w:r>
    </w:p>
    <w:p w14:paraId="6AE3AB75" w14:textId="77777777" w:rsidR="00076776" w:rsidRDefault="00076776"/>
    <w:p w14:paraId="3B35A875" w14:textId="77777777" w:rsidR="00076776" w:rsidRDefault="00000000">
      <w:r>
        <w:t>32 @</w:t>
      </w:r>
      <w:proofErr w:type="gramStart"/>
      <w:r>
        <w:t>L?@</w:t>
      </w:r>
      <w:proofErr w:type="gramEnd"/>
      <w:r>
        <w:t>Treaty@Law@SJ@Arg</w:t>
      </w:r>
    </w:p>
    <w:p w14:paraId="148C5B36" w14:textId="77777777" w:rsidR="00076776" w:rsidRDefault="00000000">
      <w:pPr>
        <w:ind w:left="720"/>
      </w:pPr>
      <w:r>
        <w:t>The Supreme Court of Canada has written, “While British policy towards the native population was based on respect for their right to occupy their traditional lands, a proposition to which the Royal Proclamation of 1763 bears witness, there was from the outset never any doubt that sovereignty and legislative power, and indeed the underlying title, to such lands vested in the Crown.”</w:t>
      </w:r>
      <w:r>
        <w:rPr>
          <w:vertAlign w:val="superscript"/>
        </w:rPr>
        <w:t>8</w:t>
      </w:r>
      <w:r>
        <w:t xml:space="preserve"> </w:t>
      </w:r>
      <w:r>
        <w:rPr>
          <w:b/>
        </w:rPr>
        <w:t>How can there be no doubt that we had sovereignty “from the outset,” unless the principle of temporal priority does not apply</w:t>
      </w:r>
      <w:r>
        <w:t>!</w:t>
      </w:r>
    </w:p>
    <w:p w14:paraId="6793DDC3" w14:textId="77777777" w:rsidR="00076776" w:rsidRDefault="00076776"/>
    <w:p w14:paraId="2EAF760E" w14:textId="77777777" w:rsidR="00076776" w:rsidRDefault="00000000">
      <w:r>
        <w:t>34 @SettState@Hist@IndHist</w:t>
      </w:r>
    </w:p>
    <w:p w14:paraId="1C50C65D" w14:textId="77777777" w:rsidR="00076776" w:rsidRDefault="00000000">
      <w:pPr>
        <w:ind w:left="720"/>
      </w:pPr>
      <w:r>
        <w:t>How can there be such a disconnect? The answer is that we have misread our own history.</w:t>
      </w:r>
    </w:p>
    <w:p w14:paraId="61D69801" w14:textId="77777777" w:rsidR="00076776" w:rsidRDefault="00076776"/>
    <w:p w14:paraId="00923D60" w14:textId="77777777" w:rsidR="00076776" w:rsidRDefault="00000000">
      <w:r>
        <w:t>35 @</w:t>
      </w:r>
      <w:proofErr w:type="gramStart"/>
      <w:r>
        <w:t>L?@</w:t>
      </w:r>
      <w:proofErr w:type="gramEnd"/>
      <w:r>
        <w:t>Law@SettState@Capital@Treaty</w:t>
      </w:r>
    </w:p>
    <w:p w14:paraId="05494BA5" w14:textId="77777777" w:rsidR="00076776" w:rsidRDefault="00000000">
      <w:pPr>
        <w:ind w:left="720"/>
      </w:pPr>
      <w:r>
        <w:t xml:space="preserve">And </w:t>
      </w:r>
      <w:r>
        <w:rPr>
          <w:highlight w:val="magenta"/>
        </w:rPr>
        <w:t xml:space="preserve">Elder </w:t>
      </w:r>
      <w:proofErr w:type="spellStart"/>
      <w:r>
        <w:rPr>
          <w:highlight w:val="magenta"/>
        </w:rPr>
        <w:t>Musqua</w:t>
      </w:r>
      <w:proofErr w:type="spellEnd"/>
      <w:r>
        <w:t xml:space="preserve"> of the same treaty explains the rationale as follows: “Because, if any man owns a piece of the Earth, then he no more respects Mother Earth. He no more respects the Earth, because he believes he can do what wants with that Earth and he can destroy it, he can do whatever he wants. That’s the reason we don’t own the Earth: because it belongs to all the people. For the purposes of that we cannot own the Earth. We were willing to share it.”</w:t>
      </w:r>
      <w:r>
        <w:rPr>
          <w:vertAlign w:val="superscript"/>
        </w:rPr>
        <w:t xml:space="preserve">20 </w:t>
      </w:r>
      <w:r>
        <w:t>And, as I have come to understand, this means that the intent is to establish a nation-to-nation relationship, notwithstanding that settlers do not have sovereignty or jurisdiction over any lands – treaty or not.</w:t>
      </w:r>
    </w:p>
    <w:p w14:paraId="67E79C28" w14:textId="77777777" w:rsidR="00076776" w:rsidRDefault="00076776"/>
    <w:p w14:paraId="3B5E9E1C" w14:textId="77777777" w:rsidR="00076776" w:rsidRDefault="00000000">
      <w:pPr>
        <w:rPr>
          <w:highlight w:val="green"/>
        </w:rPr>
      </w:pPr>
      <w:r>
        <w:rPr>
          <w:highlight w:val="green"/>
        </w:rPr>
        <w:t xml:space="preserve">36 </w:t>
      </w:r>
      <w:proofErr w:type="spellStart"/>
      <w:r>
        <w:rPr>
          <w:highlight w:val="green"/>
        </w:rPr>
        <w:t>ISr@Treaty</w:t>
      </w:r>
      <w:proofErr w:type="spellEnd"/>
    </w:p>
    <w:p w14:paraId="37E465CC" w14:textId="77777777" w:rsidR="00076776" w:rsidRDefault="00000000">
      <w:r>
        <w:t xml:space="preserve">A </w:t>
      </w:r>
      <w:proofErr w:type="gramStart"/>
      <w:r>
        <w:t>breaks</w:t>
      </w:r>
      <w:proofErr w:type="gramEnd"/>
      <w:r>
        <w:t xml:space="preserve"> down, with sources for each, the essence of the expectations of the treaties:</w:t>
      </w:r>
    </w:p>
    <w:p w14:paraId="502223D7" w14:textId="77777777" w:rsidR="00076776" w:rsidRDefault="00076776"/>
    <w:p w14:paraId="48C5DC0D" w14:textId="77777777" w:rsidR="00076776" w:rsidRDefault="00000000">
      <w:pPr>
        <w:ind w:left="720"/>
      </w:pPr>
      <w:r>
        <w:t>Putting it another way, our partners understand that:</w:t>
      </w:r>
    </w:p>
    <w:p w14:paraId="6997BC9B" w14:textId="77777777" w:rsidR="00076776" w:rsidRDefault="00000000">
      <w:pPr>
        <w:ind w:left="1440"/>
      </w:pPr>
      <w:r>
        <w:t>1) Regardless of the economic activities the signatories chose to pursue, their standard of living would be equivalent to that of the settlers;22</w:t>
      </w:r>
    </w:p>
    <w:p w14:paraId="7D2B76FF" w14:textId="77777777" w:rsidR="00076776" w:rsidRDefault="00000000">
      <w:pPr>
        <w:ind w:left="1440"/>
      </w:pPr>
      <w:r>
        <w:t>2) They would never go hungry;23</w:t>
      </w:r>
    </w:p>
    <w:p w14:paraId="07811C09" w14:textId="77777777" w:rsidR="00076776" w:rsidRDefault="00000000">
      <w:pPr>
        <w:ind w:left="1440"/>
      </w:pPr>
      <w:r>
        <w:t>3) They would have assistance in times of need;24</w:t>
      </w:r>
    </w:p>
    <w:p w14:paraId="7F1D416F" w14:textId="77777777" w:rsidR="00076776" w:rsidRDefault="00000000">
      <w:pPr>
        <w:ind w:left="1440"/>
      </w:pPr>
      <w:r>
        <w:t>4) They would not be required to make any changes in their way</w:t>
      </w:r>
    </w:p>
    <w:p w14:paraId="20643A0F" w14:textId="77777777" w:rsidR="00076776" w:rsidRDefault="00000000">
      <w:pPr>
        <w:ind w:left="1440"/>
      </w:pPr>
      <w:r>
        <w:t xml:space="preserve">of living </w:t>
      </w:r>
      <w:proofErr w:type="gramStart"/>
      <w:r>
        <w:t>in order to</w:t>
      </w:r>
      <w:proofErr w:type="gramEnd"/>
      <w:r>
        <w:t xml:space="preserve"> affect that guarantee; that is, as the familiar phrase depicts it, the offer is “on top of what you already have.”25</w:t>
      </w:r>
    </w:p>
    <w:p w14:paraId="40141928" w14:textId="77777777" w:rsidR="00076776" w:rsidRDefault="00000000">
      <w:pPr>
        <w:ind w:left="720"/>
      </w:pPr>
      <w:r>
        <w:lastRenderedPageBreak/>
        <w:t xml:space="preserve">[38] let me give you key evidence that leads me to this conclusion. As to equality of status, </w:t>
      </w:r>
      <w:r>
        <w:rPr>
          <w:highlight w:val="magenta"/>
        </w:rPr>
        <w:t>Commissioner Morris</w:t>
      </w:r>
      <w:r>
        <w:t xml:space="preserve"> </w:t>
      </w:r>
      <w:r>
        <w:rPr>
          <w:b/>
        </w:rPr>
        <w:t>never refers to Indigenous peoples as coming under the authority of the dominion government, either before or after negotiations. Rather, he is careful to use kin terms to indicate that their members are equal in standing to settlers</w:t>
      </w:r>
      <w:r>
        <w:t xml:space="preserve"> (i.e., friends and brothers).</w:t>
      </w:r>
    </w:p>
    <w:p w14:paraId="5E15E6DA" w14:textId="77777777" w:rsidR="00076776" w:rsidRDefault="00076776"/>
    <w:p w14:paraId="09461270" w14:textId="77777777" w:rsidR="00076776" w:rsidRDefault="00000000">
      <w:pPr>
        <w:rPr>
          <w:highlight w:val="green"/>
        </w:rPr>
      </w:pPr>
      <w:r>
        <w:rPr>
          <w:highlight w:val="green"/>
        </w:rPr>
        <w:t>39 @FFessay@</w:t>
      </w:r>
      <w:proofErr w:type="gramStart"/>
      <w:r>
        <w:rPr>
          <w:highlight w:val="green"/>
        </w:rPr>
        <w:t>Motherlode!@</w:t>
      </w:r>
      <w:proofErr w:type="gramEnd"/>
      <w:r>
        <w:rPr>
          <w:highlight w:val="green"/>
        </w:rPr>
        <w:t>Polity@ISr@</w:t>
      </w:r>
      <w:proofErr w:type="gramStart"/>
      <w:r>
        <w:rPr>
          <w:highlight w:val="green"/>
        </w:rPr>
        <w:t>L?@</w:t>
      </w:r>
      <w:proofErr w:type="gramEnd"/>
      <w:r>
        <w:rPr>
          <w:highlight w:val="green"/>
        </w:rPr>
        <w:t>Law</w:t>
      </w:r>
    </w:p>
    <w:p w14:paraId="603E12F9" w14:textId="77777777" w:rsidR="00076776" w:rsidRDefault="00000000">
      <w:r>
        <w:t>Building on the “</w:t>
      </w:r>
      <w:r>
        <w:rPr>
          <w:b/>
        </w:rPr>
        <w:t>Aborigines Protection Society</w:t>
      </w:r>
      <w:r>
        <w:t xml:space="preserve"> [1837] … in response to </w:t>
      </w:r>
      <w:r>
        <w:rPr>
          <w:i/>
        </w:rPr>
        <w:t xml:space="preserve">The Report of the Parliamentary Select Committee on Aboriginal Tribes </w:t>
      </w:r>
      <w:r>
        <w:t xml:space="preserve">which they published: </w:t>
      </w:r>
    </w:p>
    <w:p w14:paraId="486AD4D1" w14:textId="77777777" w:rsidR="00076776" w:rsidRDefault="00000000">
      <w:pPr>
        <w:ind w:left="720"/>
      </w:pPr>
      <w:r>
        <w:t xml:space="preserve">That, then, was to be the arrangement: we would live together, sharing the land, and they would be protected from our excesses by the fact that they would have a direct relationship with the Queen (through the governor-general). In return, we would do our best to ensure that our presence on these lands was of benefit to them. </w:t>
      </w:r>
      <w:r>
        <w:rPr>
          <w:highlight w:val="green"/>
        </w:rPr>
        <w:t>Following from this, I am suggesting that the agreements we struck at that time offer us a path for reconciliation between Indigenous peoples and settlers today.</w:t>
      </w:r>
    </w:p>
    <w:p w14:paraId="45732127" w14:textId="77777777" w:rsidR="00076776" w:rsidRDefault="00076776"/>
    <w:p w14:paraId="6CCBBD17" w14:textId="77777777" w:rsidR="00076776" w:rsidRDefault="00000000">
      <w:r>
        <w:t>41 @Treaty@SettState@ManDest@Narr@Arg</w:t>
      </w:r>
    </w:p>
    <w:p w14:paraId="5F221915" w14:textId="77777777" w:rsidR="00076776" w:rsidRDefault="00000000">
      <w:r>
        <w:t xml:space="preserve">On why, beyond settler arrogance, the treaties failed, and how to tip the scales back: </w:t>
      </w:r>
    </w:p>
    <w:p w14:paraId="3A2932E4" w14:textId="77777777" w:rsidR="00076776" w:rsidRDefault="00000000">
      <w:pPr>
        <w:ind w:left="720"/>
      </w:pPr>
      <w:r>
        <w:t>As Miller aptly puts it,</w:t>
      </w:r>
    </w:p>
    <w:p w14:paraId="59921CC2" w14:textId="77777777" w:rsidR="00076776" w:rsidRDefault="00000000">
      <w:pPr>
        <w:ind w:left="1440"/>
      </w:pPr>
      <w:r>
        <w:t>Once treaty-making was concluded in the 1870s, the self-interested and at times insensitive nature of federal treaty-making was revealed. … Rather, once setbacks in the West weakened the peoples there, it became all too easy in a parliamentary democracy in which votes – something First Nations did not have, of course – were what counted for politicians to drop treaty obligations down the priority list when it came to allocating resources.</w:t>
      </w:r>
      <w:r>
        <w:rPr>
          <w:vertAlign w:val="superscript"/>
        </w:rPr>
        <w:t>44</w:t>
      </w:r>
    </w:p>
    <w:p w14:paraId="556626B3" w14:textId="77777777" w:rsidR="00076776" w:rsidRDefault="00000000">
      <w:pPr>
        <w:ind w:left="720"/>
      </w:pPr>
      <w:r>
        <w:t xml:space="preserve">And this means that, at the end of the day, </w:t>
      </w:r>
      <w:r>
        <w:rPr>
          <w:b/>
        </w:rPr>
        <w:t>the surest way forward is to change the political calculus so that the benefit to the government of fulfilling our obligations outweighs the cost</w:t>
      </w:r>
      <w:r>
        <w:t>.</w:t>
      </w:r>
    </w:p>
    <w:p w14:paraId="4AE79444" w14:textId="77777777" w:rsidR="00076776" w:rsidRDefault="00076776"/>
    <w:p w14:paraId="312FDC7B" w14:textId="77777777" w:rsidR="00076776" w:rsidRDefault="00000000">
      <w:r>
        <w:t xml:space="preserve">… which means that we treat any given treaty like the Magna Carta (41). And on </w:t>
      </w:r>
      <w:r>
        <w:rPr>
          <w:highlight w:val="green"/>
        </w:rPr>
        <w:t>living up to the Magna Carta’s weight of obligations through the lens of treaties</w:t>
      </w:r>
      <w:r>
        <w:t xml:space="preserve">: </w:t>
      </w:r>
    </w:p>
    <w:p w14:paraId="142A241E" w14:textId="77777777" w:rsidR="00076776" w:rsidRDefault="00076776"/>
    <w:p w14:paraId="2FB846AD" w14:textId="77777777" w:rsidR="00076776" w:rsidRDefault="00000000">
      <w:pPr>
        <w:ind w:left="720"/>
      </w:pPr>
      <w:r>
        <w:t xml:space="preserve">[41-42] As is reflected in our monuments on Parliament Hill, it is those, like George Brown and Sir John A. Macdonald, who propelled us in that direction at that time, who are counted as “Fathers of Confederation.” // But that story makes no sense, for one cannot have Confederation until there is a home on which to build it, and without treaties we have no home here. That is what Commissioner Morris, Lord Dufferin, and so many others did when they chose to ground this country on the idea that our legitimacy arises from the agreements we made with those who were already here when we first arrived. This means that the treaties are as much a Magna Carta for us as they are for those with whom he negotiated, for the legitimacy of everything else, Con- federation included, follows from it. And once we become aware that to violate the promises we made to bring Confederation into being is to violate the authority we </w:t>
      </w:r>
      <w:proofErr w:type="gramStart"/>
      <w:r>
        <w:t>have to</w:t>
      </w:r>
      <w:proofErr w:type="gramEnd"/>
      <w:r>
        <w:t xml:space="preserve"> build a home on these lands, I am convinced that our governments will never fail to find the political will to honour them.</w:t>
      </w:r>
    </w:p>
    <w:p w14:paraId="4B7C2207" w14:textId="77777777" w:rsidR="00076776" w:rsidRDefault="00076776"/>
    <w:p w14:paraId="743255CF" w14:textId="77777777" w:rsidR="00076776" w:rsidRDefault="00000000">
      <w:pPr>
        <w:pStyle w:val="Heading3"/>
      </w:pPr>
      <w:r>
        <w:lastRenderedPageBreak/>
        <w:t>Secondary quotes</w:t>
      </w:r>
    </w:p>
    <w:p w14:paraId="4A12DC49" w14:textId="77777777" w:rsidR="00076776" w:rsidRDefault="00000000">
      <w:r>
        <w:t xml:space="preserve">30 British North America Act in 1867, which provided us with our present institutional form – federalism – and a moment of transition we call “Confederation.” / 30-31 The first is “Pre-Confederation.” Here, the key events include the fall of Quebec in 1759 and the consequent Treaty of Paris in 1763 … The second, which is called “Post-Confederation,” begins with Con- federation itself in 1867. It is immediately followed by a period of consolidation and expansion, especially to the West so that, with the purchase of Rupert’s Land in 1869 (and Manitoba’s joining of Confederation one year later) and the incorporation of </w:t>
      </w:r>
      <w:r>
        <w:rPr>
          <w:b/>
        </w:rPr>
        <w:t>British Columbia in 1871</w:t>
      </w:r>
      <w:r>
        <w:t xml:space="preserve">, in just four years, Canada is virtually the same size as it is today. / …transition comes only some 115 years after Confederation with the passage of the Constitution Act of 1982 by the British Parliament. / Riel Rebellion … and the North-West Rebellion of 1885 … / 32 </w:t>
      </w:r>
      <w:r>
        <w:rPr>
          <w:highlight w:val="magenta"/>
        </w:rPr>
        <w:t>Thomas Flanagan</w:t>
      </w:r>
      <w:r>
        <w:t xml:space="preserve"> quote: …. </w:t>
      </w:r>
      <w:r>
        <w:rPr>
          <w:i/>
        </w:rPr>
        <w:t>The farmers are justified in taking land from the hunters and defending it as long as they make the arts of civilization available to the hunters</w:t>
      </w:r>
      <w:r>
        <w:t>.</w:t>
      </w:r>
      <w:r>
        <w:rPr>
          <w:vertAlign w:val="superscript"/>
        </w:rPr>
        <w:t>7</w:t>
      </w:r>
      <w:r>
        <w:t xml:space="preserve"> / 34 covers Treaty one, and some </w:t>
      </w:r>
      <w:r>
        <w:rPr>
          <w:b/>
        </w:rPr>
        <w:t>failed, settler promises</w:t>
      </w:r>
      <w:r>
        <w:t>, with that quote about “</w:t>
      </w:r>
      <w:r>
        <w:rPr>
          <w:b/>
        </w:rPr>
        <w:t>two hoes, one spade, one scythe</w:t>
      </w:r>
      <w:r>
        <w:t xml:space="preserve"> and one axe for every family so actually cultivating, and enough seed wheat, barley, oats and potatoes to plant such land as they have broken up …” / 35 &gt; </w:t>
      </w:r>
      <w:r>
        <w:rPr>
          <w:b/>
        </w:rPr>
        <w:t>On the Shared Understanding of Treaties</w:t>
      </w:r>
    </w:p>
    <w:p w14:paraId="5099C08C" w14:textId="77777777" w:rsidR="00076776" w:rsidRDefault="00000000">
      <w:r>
        <w:t xml:space="preserve">… Let me focus on </w:t>
      </w:r>
      <w:r>
        <w:rPr>
          <w:b/>
        </w:rPr>
        <w:t>two central issues:</w:t>
      </w:r>
      <w:r>
        <w:t xml:space="preserve"> </w:t>
      </w:r>
      <w:r>
        <w:rPr>
          <w:b/>
        </w:rPr>
        <w:t xml:space="preserve">the conditions </w:t>
      </w:r>
      <w:proofErr w:type="gramStart"/>
      <w:r>
        <w:rPr>
          <w:b/>
        </w:rPr>
        <w:t>on the basis of</w:t>
      </w:r>
      <w:proofErr w:type="gramEnd"/>
      <w:r>
        <w:rPr>
          <w:b/>
        </w:rPr>
        <w:t xml:space="preserve"> which we were authorized to settle; and the obligations we made in return</w:t>
      </w:r>
      <w:r>
        <w:t xml:space="preserve">. … / 36 </w:t>
      </w:r>
      <w:r>
        <w:rPr>
          <w:b/>
        </w:rPr>
        <w:t>Where do they get these ideas?</w:t>
      </w:r>
      <w:r>
        <w:t xml:space="preserve"> The answer: from the words of </w:t>
      </w:r>
      <w:r>
        <w:rPr>
          <w:highlight w:val="magenta"/>
        </w:rPr>
        <w:t>Chief Commissioner Alexander Morris</w:t>
      </w:r>
      <w:r>
        <w:t xml:space="preserve">, who negotiated many of the post-Confederation treaties. And we know this because he published transcriptions of what was said during negotiations in his 1880 book, </w:t>
      </w:r>
      <w:r>
        <w:rPr>
          <w:i/>
        </w:rPr>
        <w:t>The Treaties of Canada with the Indians of Manitoba and the North-West Territories</w:t>
      </w:r>
      <w:r>
        <w:t>. Here are some of the things he said. … Treaty 4 negotiations: … “</w:t>
      </w:r>
      <w:r>
        <w:rPr>
          <w:b/>
        </w:rPr>
        <w:t>The land is wide, it is wide, it is big enough for us both; let us live here like brothers</w:t>
      </w:r>
      <w:r>
        <w:t xml:space="preserve">,” … / 37 </w:t>
      </w:r>
      <w:r>
        <w:rPr>
          <w:b/>
        </w:rPr>
        <w:t>Treaty 6 negotiations</w:t>
      </w:r>
      <w:r>
        <w:t>, nothing was to be imposed: “Understand me, I do not want to interfere with your hunting and fishing.</w:t>
      </w:r>
    </w:p>
    <w:p w14:paraId="357CA782" w14:textId="77777777" w:rsidR="00076776" w:rsidRDefault="00076776"/>
    <w:p w14:paraId="0A32E83E" w14:textId="77777777" w:rsidR="00076776" w:rsidRDefault="00000000">
      <w:pPr>
        <w:pStyle w:val="Heading3"/>
      </w:pPr>
      <w:r>
        <w:t>Notes</w:t>
      </w:r>
    </w:p>
    <w:p w14:paraId="5E0446F9" w14:textId="77777777" w:rsidR="00076776" w:rsidRDefault="00000000">
      <w:r>
        <w:t xml:space="preserve">@Diss: this whole book is fantastic, and I may need to have another look at several chapters. </w:t>
      </w:r>
    </w:p>
    <w:p w14:paraId="65239DFD" w14:textId="77777777" w:rsidR="00076776" w:rsidRDefault="00076776"/>
    <w:p w14:paraId="2270E374" w14:textId="77777777" w:rsidR="00076776" w:rsidRDefault="00000000">
      <w:r>
        <w:t xml:space="preserve">@Diss source: Harold Cardinal, </w:t>
      </w:r>
      <w:r>
        <w:rPr>
          <w:i/>
        </w:rPr>
        <w:t>The Unjust Society: The Tragedy of Canada’s Indians</w:t>
      </w:r>
    </w:p>
    <w:p w14:paraId="5FD2AC3C" w14:textId="77777777" w:rsidR="00076776" w:rsidRDefault="00000000">
      <w:r>
        <w:t>(Edmonton: Hurtig, 1969), 24.</w:t>
      </w:r>
    </w:p>
    <w:p w14:paraId="3026647F" w14:textId="77777777" w:rsidR="00076776" w:rsidRDefault="00076776"/>
    <w:p w14:paraId="4BEA28CA" w14:textId="77777777" w:rsidR="00076776" w:rsidRDefault="00000000">
      <w:r>
        <w:t>38 @Knote@K?</w:t>
      </w:r>
    </w:p>
    <w:p w14:paraId="712BA040" w14:textId="77777777" w:rsidR="00076776" w:rsidRDefault="00000000">
      <w:pPr>
        <w:ind w:left="720"/>
      </w:pPr>
      <w:proofErr w:type="spellStart"/>
      <w:r>
        <w:t>R.e</w:t>
      </w:r>
      <w:proofErr w:type="spellEnd"/>
      <w:r>
        <w:t xml:space="preserve">., “You must remember that the Indian population is not represented in Parliament, and, consequently, that the </w:t>
      </w:r>
      <w:r>
        <w:rPr>
          <w:b/>
        </w:rPr>
        <w:t>Governor General</w:t>
      </w:r>
      <w:r>
        <w:t xml:space="preserve"> is bound to watch over their welfare and especial solicitude.”</w:t>
      </w:r>
      <w:r>
        <w:rPr>
          <w:vertAlign w:val="superscript"/>
        </w:rPr>
        <w:t>37</w:t>
      </w:r>
    </w:p>
    <w:p w14:paraId="31AFB368" w14:textId="77777777" w:rsidR="00076776" w:rsidRDefault="00076776"/>
    <w:p w14:paraId="3C8275DF" w14:textId="77777777" w:rsidR="00076776" w:rsidRDefault="00000000">
      <w:r>
        <w:t xml:space="preserve">Oh, the irony in what is now, effectively, a ceremonial position once holding the key to so much possibility for reconciliation. Perhaps, this is one step forward: re-empower the GG to mediate on behalf of both parties, and to </w:t>
      </w:r>
      <w:r>
        <w:rPr>
          <w:i/>
        </w:rPr>
        <w:t>enforce</w:t>
      </w:r>
      <w:r>
        <w:t xml:space="preserve"> the intent and spirit of the original language of the treaties. </w:t>
      </w:r>
    </w:p>
    <w:p w14:paraId="73F0C4B9" w14:textId="77777777" w:rsidR="00076776" w:rsidRDefault="00076776"/>
    <w:p w14:paraId="76B7EFCE" w14:textId="77777777" w:rsidR="00076776" w:rsidRDefault="00000000">
      <w:r>
        <w:t xml:space="preserve">@Knote: If time allows, read Borrows’ and the last essay in this collection. Heck, read the whole thing, really. </w:t>
      </w:r>
    </w:p>
    <w:p w14:paraId="0977A2C2" w14:textId="77777777" w:rsidR="00076776" w:rsidRDefault="00076776"/>
    <w:p w14:paraId="4DAB95C3" w14:textId="77777777" w:rsidR="00076776" w:rsidRDefault="00000000">
      <w:pPr>
        <w:pStyle w:val="Heading1"/>
      </w:pPr>
      <w:bookmarkStart w:id="20" w:name="_heading=h.3j2qqm3" w:colFirst="0" w:colLast="0"/>
      <w:bookmarkEnd w:id="20"/>
      <w:r>
        <w:lastRenderedPageBreak/>
        <w:t>*(2018) de Leeuw &amp; Hunt, “Unsettling Decolonizing Geographies”</w:t>
      </w:r>
    </w:p>
    <w:p w14:paraId="4A9D36E7" w14:textId="77777777" w:rsidR="00076776" w:rsidRDefault="00076776"/>
    <w:p w14:paraId="0C500653" w14:textId="77777777" w:rsidR="00076776" w:rsidRDefault="00000000">
      <w:pPr>
        <w:pStyle w:val="Heading2"/>
      </w:pPr>
      <w:r>
        <w:t>Abstract</w:t>
      </w:r>
    </w:p>
    <w:p w14:paraId="750F5FC9" w14:textId="77777777" w:rsidR="00076776" w:rsidRDefault="00000000">
      <w:r>
        <w:t>[From the abstract] … despite good intentions, efforts at decolonizing geography are inherently limited because colonization continues to structure the field of geography and the academy more broadly.</w:t>
      </w:r>
    </w:p>
    <w:p w14:paraId="69DAA6B7" w14:textId="77777777" w:rsidR="00076776" w:rsidRDefault="00076776"/>
    <w:p w14:paraId="043AAEB3" w14:textId="77777777" w:rsidR="00076776" w:rsidRDefault="00000000">
      <w:pPr>
        <w:pStyle w:val="Heading2"/>
      </w:pPr>
      <w:r>
        <w:t>Key words</w:t>
      </w:r>
    </w:p>
    <w:p w14:paraId="5A4CB1F0" w14:textId="77777777" w:rsidR="00076776" w:rsidRDefault="00000000">
      <w:r>
        <w:t>[Try to prioritize key words from the work over your own sense of it.]</w:t>
      </w:r>
    </w:p>
    <w:p w14:paraId="4B5324C5" w14:textId="77777777" w:rsidR="00076776" w:rsidRDefault="00076776"/>
    <w:p w14:paraId="4FB67893" w14:textId="77777777" w:rsidR="00076776" w:rsidRDefault="00000000">
      <w:pPr>
        <w:pStyle w:val="Heading2"/>
      </w:pPr>
      <w:r>
        <w:t>Essential quote</w:t>
      </w:r>
    </w:p>
    <w:p w14:paraId="263C8588" w14:textId="77777777" w:rsidR="00076776" w:rsidRDefault="00000000">
      <w:r>
        <w:t>[</w:t>
      </w:r>
      <w:r>
        <w:rPr>
          <w:i/>
        </w:rPr>
        <w:t>One</w:t>
      </w:r>
      <w:r>
        <w:t xml:space="preserve"> quote that you feel speaks to/for the whole work.]</w:t>
      </w:r>
    </w:p>
    <w:p w14:paraId="7ADB7BFC" w14:textId="77777777" w:rsidR="00076776" w:rsidRDefault="00076776"/>
    <w:p w14:paraId="51305A9F" w14:textId="77777777" w:rsidR="00076776" w:rsidRDefault="00000000">
      <w:pPr>
        <w:pStyle w:val="Heading2"/>
      </w:pPr>
      <w:r>
        <w:t>Terms</w:t>
      </w:r>
    </w:p>
    <w:p w14:paraId="47116B24" w14:textId="77777777" w:rsidR="00076776" w:rsidRDefault="00000000">
      <w:r>
        <w:t xml:space="preserve">2: </w:t>
      </w:r>
      <w:r>
        <w:rPr>
          <w:b/>
        </w:rPr>
        <w:t>interdigitated</w:t>
      </w:r>
      <w:r>
        <w:t xml:space="preserve">: as in “Even if we were not inhabiting a specific place of contemporary settler colonization, the complex and interdigitated nature of globalization and neoliberalism mean that profits and accumulations drawn from settler colonial geographies implicate people and places beyond specific state borders….” </w:t>
      </w:r>
    </w:p>
    <w:p w14:paraId="024814B4" w14:textId="77777777" w:rsidR="00076776" w:rsidRDefault="00000000">
      <w:r>
        <w:t xml:space="preserve">3: </w:t>
      </w:r>
      <w:r>
        <w:rPr>
          <w:i/>
        </w:rPr>
        <w:t>anticolonial practice</w:t>
      </w:r>
      <w:r>
        <w:t xml:space="preserve"> (which is different than a </w:t>
      </w:r>
      <w:r>
        <w:rPr>
          <w:i/>
        </w:rPr>
        <w:t>decolonizing practice</w:t>
      </w:r>
      <w:r>
        <w:t xml:space="preserve">).” </w:t>
      </w:r>
    </w:p>
    <w:p w14:paraId="224F01F4" w14:textId="77777777" w:rsidR="00076776" w:rsidRDefault="00000000">
      <w:r>
        <w:t xml:space="preserve">3: [@DECOL] </w:t>
      </w:r>
      <w:r>
        <w:rPr>
          <w:b/>
          <w:highlight w:val="green"/>
        </w:rPr>
        <w:t>decolonization</w:t>
      </w:r>
      <w:r>
        <w:t xml:space="preserve">: “Decolonization is far from a fixed concept with clearly delineated associated practices. Decolonization cannot even be understood as pertaining specifically to Indigenous peoples and places (hence, our narrowed focus in this paper to settler colonial contexts where the interface between Indigenous and non-Indigenous peoples is more acute). Instead, </w:t>
      </w:r>
      <w:r>
        <w:rPr>
          <w:b/>
        </w:rPr>
        <w:t>decolonization has been deployed as a more generalized means of interrogating ways that knowledge-making practices marginalize or discount specific people and places, especially by privileging what might be generalized as “western” (often Euro-white) knowledges over “southern” (often racialized) ways of seeing and knowing the world</w:t>
      </w:r>
      <w:r>
        <w:t xml:space="preserve"> (see, for instance, Smith, 1999; Radcliffe, 2005; Radcliffe, 2017). [4] … decolonization roughly has an affinity with [@Poco] </w:t>
      </w:r>
      <w:r>
        <w:rPr>
          <w:b/>
        </w:rPr>
        <w:t>postcolonial theory</w:t>
      </w:r>
      <w:r>
        <w:t xml:space="preserve"> or is paired with concepts of anticolonialism or the decolonial—often framed with critical race theory—in settler colonial occupied space. … Within these frameworks, however, decolonization </w:t>
      </w:r>
      <w:proofErr w:type="gramStart"/>
      <w:r>
        <w:t>still remains</w:t>
      </w:r>
      <w:proofErr w:type="gramEnd"/>
      <w:r>
        <w:t xml:space="preserve"> principally </w:t>
      </w:r>
      <w:r>
        <w:rPr>
          <w:i/>
        </w:rPr>
        <w:t>read</w:t>
      </w:r>
      <w:r>
        <w:t xml:space="preserve"> and </w:t>
      </w:r>
      <w:r>
        <w:rPr>
          <w:i/>
        </w:rPr>
        <w:t>thought</w:t>
      </w:r>
      <w:r>
        <w:t xml:space="preserve"> about through texts and cultural archives (for instance, maps or papers from colonial offices). … </w:t>
      </w:r>
      <w:r>
        <w:rPr>
          <w:b/>
        </w:rPr>
        <w:t xml:space="preserve">Decolonization associated with postcolonial theory, in other words, dwells predominantly in semiotic conceptual realms of rhetoric: It thus risks being little more than a metaphor </w:t>
      </w:r>
      <w:r>
        <w:t>@</w:t>
      </w:r>
      <w:proofErr w:type="gramStart"/>
      <w:r>
        <w:t>Link:</w:t>
      </w:r>
      <w:r>
        <w:rPr>
          <w:highlight w:val="magenta"/>
        </w:rPr>
        <w:t>Tuck</w:t>
      </w:r>
      <w:proofErr w:type="gramEnd"/>
      <w:r>
        <w:rPr>
          <w:highlight w:val="magenta"/>
        </w:rPr>
        <w:t>&amp;</w:t>
      </w:r>
      <w:proofErr w:type="gramStart"/>
      <w:r>
        <w:rPr>
          <w:highlight w:val="magenta"/>
        </w:rPr>
        <w:t>Yang</w:t>
      </w:r>
      <w:r>
        <w:rPr>
          <w:b/>
        </w:rPr>
        <w:t>(</w:t>
      </w:r>
      <w:proofErr w:type="gramEnd"/>
      <w:r>
        <w:rPr>
          <w:b/>
        </w:rPr>
        <w:t>Tuck &amp; Yang, 2012)</w:t>
      </w:r>
      <w:r>
        <w:t>. [6] Decolonization demands acknowledging multiple ways of knowing and being, especially those of Indigenous peoples and systems. It espouses efforts of undoing the privileging of non-Indigenous settler ways of knowing above those of Indigenous peoples. Decolonization as such is a more cerebral and reflective effort, a more introspective (to the discipline) call to re-think geographic knowledge, to ask what space is open (or not) in our discipline for Indigenous voices and ways of knowing. In this sense, decolonization is also and still a domain of mostly non-Indigenous settlers.</w:t>
      </w:r>
    </w:p>
    <w:p w14:paraId="4C0AA8D6" w14:textId="77777777" w:rsidR="00076776" w:rsidRDefault="00000000">
      <w:r>
        <w:lastRenderedPageBreak/>
        <w:t xml:space="preserve">5: </w:t>
      </w:r>
      <w:r>
        <w:rPr>
          <w:b/>
        </w:rPr>
        <w:t>decolonial</w:t>
      </w:r>
      <w:r>
        <w:t xml:space="preserve">: alongside “anticolonial (as opposed to postcolonial).” </w:t>
      </w:r>
    </w:p>
    <w:p w14:paraId="4FFBF741" w14:textId="77777777" w:rsidR="00076776" w:rsidRDefault="00000000">
      <w:r>
        <w:t xml:space="preserve">6: </w:t>
      </w:r>
      <w:r>
        <w:rPr>
          <w:b/>
          <w:highlight w:val="green"/>
        </w:rPr>
        <w:t>settler colonialism</w:t>
      </w:r>
      <w:r>
        <w:t>: “… an ongoing structure (or series of structures and systems) that becomes divested from an external imperial or secondary governing structure. Settler colonialism operates and accrues power more locally, through non-Imperial settler subjects actively amassing and controlling land and resources beyond the edges of traditional empire (Harris, 2004), especially by making effort to eliminate Indigenous presences in an ongoing fashion (Wolfe, 2006). Settler colonial formations differ from colonialism.</w:t>
      </w:r>
    </w:p>
    <w:p w14:paraId="10494678" w14:textId="77777777" w:rsidR="00076776" w:rsidRDefault="00000000">
      <w:r>
        <w:t xml:space="preserve">6: </w:t>
      </w:r>
      <w:r>
        <w:rPr>
          <w:b/>
          <w:highlight w:val="green"/>
        </w:rPr>
        <w:t>colonialism</w:t>
      </w:r>
      <w:r>
        <w:t>: “… a project focused on economic accumulation reliant on peoples and communities dominated by an imperial force which then vacates: Because Indigenous peoples have no other homeland either to reference or return to, their lands, worldviews and ways of being are, within settler colonialism, actively and continuously under attack (Byrd, 2011; Smith, 1999; Wolfe, 2006).</w:t>
      </w:r>
    </w:p>
    <w:p w14:paraId="66211281" w14:textId="77777777" w:rsidR="00076776" w:rsidRDefault="00000000">
      <w:r>
        <w:t xml:space="preserve">6: </w:t>
      </w:r>
      <w:r>
        <w:rPr>
          <w:b/>
        </w:rPr>
        <w:t>decolonizing practices</w:t>
      </w:r>
      <w:r>
        <w:t xml:space="preserve">: “… work at doing more than theorizing settler colonial power: They instead want to change the very ways that geographic knowledge is produced, often looking at geographic tools and calling for practices to be undertaken in partnership with Indigenous peoples and communities (Giles &amp; </w:t>
      </w:r>
      <w:proofErr w:type="spellStart"/>
      <w:r>
        <w:t>Castleden</w:t>
      </w:r>
      <w:proofErr w:type="spellEnd"/>
      <w:r>
        <w:t xml:space="preserve">, 2008; Indigenous Peoples Specialty Group [IPSG], 2010; Louis &amp; Grossman, 2009). … </w:t>
      </w:r>
      <w:proofErr w:type="spellStart"/>
      <w:proofErr w:type="gramStart"/>
      <w:r>
        <w:t>community!based</w:t>
      </w:r>
      <w:proofErr w:type="spellEnd"/>
      <w:proofErr w:type="gramEnd"/>
      <w:r>
        <w:t xml:space="preserve"> participatory action research (CBPAR) (see, for instance, The Canadian Geographer, Summer 2012), </w:t>
      </w:r>
      <w:proofErr w:type="spellStart"/>
      <w:proofErr w:type="gramStart"/>
      <w:r>
        <w:t>auto!ethnography</w:t>
      </w:r>
      <w:proofErr w:type="spellEnd"/>
      <w:proofErr w:type="gramEnd"/>
      <w:r>
        <w:t xml:space="preserve">, storytelling, or digital stories (Sloan Morgan et al., 2014). Some also suggest ways to critically (counter) map Indigenous spaces, place names, and topologies (Johnson et al., 2005; Louis et al., 2012; Wainwright &amp; Bryan, 2009). Others emphasize pedagogical and educational strategies that emplace and privilege Indigenous peoples and ways of knowing and being </w:t>
      </w:r>
      <w:proofErr w:type="gramStart"/>
      <w:r>
        <w:t>in order to</w:t>
      </w:r>
      <w:proofErr w:type="gramEnd"/>
      <w:r>
        <w:t xml:space="preserve"> change the way future generations of geographers’ work (Godlewska, Moore, &amp; </w:t>
      </w:r>
      <w:proofErr w:type="spellStart"/>
      <w:r>
        <w:t>Bednasek</w:t>
      </w:r>
      <w:proofErr w:type="spellEnd"/>
      <w:r>
        <w:t xml:space="preserve">, 2010; Johnson et al., 2005). Fundamentally, many of the decolonizing geographic practices aspire to material and lived changes—that range from small local changes to larger goals of territorial reclamation—in the fabric of settler colonial places and spaces. These practices rest on assumptions that ubiquitous settler colonial power results in the sublimation of Indigenous peoples, places, and ways of knowing and being and that it must be actively challenged. </w:t>
      </w:r>
    </w:p>
    <w:p w14:paraId="1DCFBF73" w14:textId="77777777" w:rsidR="00076776" w:rsidRDefault="00000000">
      <w:r>
        <w:t xml:space="preserve">8: </w:t>
      </w:r>
      <w:r>
        <w:rPr>
          <w:b/>
        </w:rPr>
        <w:t>Indigenous resurgence</w:t>
      </w:r>
      <w:r>
        <w:t xml:space="preserve">: “Refusing to be defined in colonial terms or in relation to colonial power, Indigenous peoples inside and outside the academy have undertaken cultural and political revitalization, also known as Indigenous resurgence (Borrows, 2002; Coulthard, 2014; L. Simpson, 2011).” </w:t>
      </w:r>
    </w:p>
    <w:p w14:paraId="45F0576C" w14:textId="77777777" w:rsidR="00076776" w:rsidRDefault="00000000">
      <w:r>
        <w:t xml:space="preserve">9: @FFessay@Diss </w:t>
      </w:r>
      <w:r>
        <w:rPr>
          <w:b/>
          <w:highlight w:val="green"/>
        </w:rPr>
        <w:t>grounded normativity</w:t>
      </w:r>
      <w:r>
        <w:t>: “… the ability to maintain land- and water-based practices through which Indigenous knowledge is fostered—or what Dene scholar Glen Coulthard (2014) calls “grounded normativity” and/or “modalities of Indigenous land-connected practices and longstanding experiential knowledge that inform and structure our ethical engagements with the world and our relationships with human and nonhuman others over time” (p. 13).</w:t>
      </w:r>
    </w:p>
    <w:p w14:paraId="3056B05D" w14:textId="77777777" w:rsidR="00076776" w:rsidRDefault="00076776"/>
    <w:p w14:paraId="08B8A95E" w14:textId="77777777" w:rsidR="00076776" w:rsidRDefault="00000000">
      <w:pPr>
        <w:pStyle w:val="Heading2"/>
      </w:pPr>
      <w:r>
        <w:t>Core quotes</w:t>
      </w:r>
    </w:p>
    <w:p w14:paraId="2F463CDD" w14:textId="77777777" w:rsidR="00076776" w:rsidRDefault="00076776"/>
    <w:p w14:paraId="3499A93A" w14:textId="77777777" w:rsidR="00076776" w:rsidRDefault="00000000">
      <w:r>
        <w:t>2 @SettPsych@IK@CogImp@SpacePlace</w:t>
      </w:r>
    </w:p>
    <w:p w14:paraId="05FDDFBB" w14:textId="77777777" w:rsidR="00076776" w:rsidRDefault="00000000">
      <w:r>
        <w:t xml:space="preserve">On acknowledging one’s subject position as related to </w:t>
      </w:r>
      <w:r>
        <w:rPr>
          <w:i/>
        </w:rPr>
        <w:t>place</w:t>
      </w:r>
      <w:r>
        <w:t xml:space="preserve">: </w:t>
      </w:r>
    </w:p>
    <w:p w14:paraId="777CAB3F" w14:textId="77777777" w:rsidR="00076776" w:rsidRDefault="00076776"/>
    <w:p w14:paraId="04C29770" w14:textId="77777777" w:rsidR="00076776" w:rsidRDefault="00000000">
      <w:pPr>
        <w:ind w:left="720"/>
      </w:pPr>
      <w:r>
        <w:lastRenderedPageBreak/>
        <w:t>To not acknowledge these contexts risks perpetuating the idea that writing and knowledge is not produced</w:t>
      </w:r>
      <w:r>
        <w:rPr>
          <w:i/>
        </w:rPr>
        <w:t xml:space="preserve"> in</w:t>
      </w:r>
      <w:r>
        <w:t xml:space="preserve"> </w:t>
      </w:r>
      <w:r>
        <w:rPr>
          <w:i/>
        </w:rPr>
        <w:t>places</w:t>
      </w:r>
      <w:r>
        <w:t>, many of which are forged in ongoing colonial violence toward Indigenous peoples (Smith, 1999; Goeman, 2013; L. Simpson, 2014).</w:t>
      </w:r>
    </w:p>
    <w:p w14:paraId="3838476E" w14:textId="77777777" w:rsidR="00076776" w:rsidRDefault="00076776"/>
    <w:p w14:paraId="62191316" w14:textId="77777777" w:rsidR="00076776" w:rsidRDefault="00000000">
      <w:r>
        <w:t>3 @Epistem@</w:t>
      </w:r>
      <w:proofErr w:type="gramStart"/>
      <w:r>
        <w:t>Link:</w:t>
      </w:r>
      <w:r>
        <w:rPr>
          <w:highlight w:val="magenta"/>
        </w:rPr>
        <w:t>Haraway</w:t>
      </w:r>
      <w:proofErr w:type="gramEnd"/>
      <w:r>
        <w:t>@Decol@SpacePlace@DECOL</w:t>
      </w:r>
    </w:p>
    <w:p w14:paraId="76FE21CF" w14:textId="77777777" w:rsidR="00076776" w:rsidRDefault="00000000">
      <w:pPr>
        <w:ind w:left="720"/>
      </w:pPr>
      <w:r>
        <w:t xml:space="preserve">Acknowledging that knowledge is always situated, always implicated in formations and systems of power, is –as other critical activist feminist scholars have long pointed out (Haraway, 1988)– an important step in writing about and envisioning practices of decolonization. / </w:t>
      </w:r>
      <w:r>
        <w:rPr>
          <w:b/>
          <w:highlight w:val="green"/>
        </w:rPr>
        <w:t>The concept of decolonization is complicated and contested</w:t>
      </w:r>
      <w:r>
        <w:t xml:space="preserve"> (Hunt &amp; Holmes, 2015; Smith, 1999; Tuck &amp; Yang, 2012). Part of this paper’s work is to provide a nuanced understanding about the diversity of meanings and expressions of decolonization both within geography and within the lives and struggles of Indigenous peoples on whose lands settler colonial nations are built. </w:t>
      </w:r>
      <w:r>
        <w:rPr>
          <w:b/>
        </w:rPr>
        <w:t xml:space="preserve">Making visible places where knowledge is produced, and who produces it, is an important place-based and </w:t>
      </w:r>
      <w:r>
        <w:rPr>
          <w:b/>
          <w:i/>
        </w:rPr>
        <w:t>anticolonial practice</w:t>
      </w:r>
      <w:r>
        <w:rPr>
          <w:b/>
        </w:rPr>
        <w:t xml:space="preserve"> (which is different than a </w:t>
      </w:r>
      <w:r>
        <w:rPr>
          <w:b/>
          <w:i/>
        </w:rPr>
        <w:t>decolonizing practice</w:t>
      </w:r>
      <w:r>
        <w:rPr>
          <w:b/>
        </w:rPr>
        <w:t xml:space="preserve">) at the heart of our questioning how the discipline of geography continues to enact </w:t>
      </w:r>
      <w:proofErr w:type="gramStart"/>
      <w:r>
        <w:rPr>
          <w:b/>
        </w:rPr>
        <w:t>particular practices</w:t>
      </w:r>
      <w:proofErr w:type="gramEnd"/>
      <w:r>
        <w:rPr>
          <w:b/>
        </w:rPr>
        <w:t xml:space="preserve"> and ways of knowing</w:t>
      </w:r>
      <w:r>
        <w:t xml:space="preserve">. </w:t>
      </w:r>
    </w:p>
    <w:p w14:paraId="0E63F4D8" w14:textId="77777777" w:rsidR="00076776" w:rsidRDefault="00076776"/>
    <w:p w14:paraId="2BB4B280" w14:textId="77777777" w:rsidR="00076776" w:rsidRDefault="00000000">
      <w:r>
        <w:rPr>
          <w:highlight w:val="green"/>
        </w:rPr>
        <w:t>@NeoCol</w:t>
      </w:r>
      <w:r>
        <w:t>@Hegem@Arg@CogImp@Decol@Map</w:t>
      </w:r>
    </w:p>
    <w:p w14:paraId="4E309C89" w14:textId="77777777" w:rsidR="00076776" w:rsidRDefault="00000000">
      <w:r>
        <w:t xml:space="preserve">This is a useful way to frame the risk in attempting to “decolonize” historical maps: </w:t>
      </w:r>
    </w:p>
    <w:p w14:paraId="39F20AE9" w14:textId="77777777" w:rsidR="00076776" w:rsidRDefault="00000000">
      <w:pPr>
        <w:ind w:left="720"/>
      </w:pPr>
      <w:r>
        <w:t xml:space="preserve">Despite disciplinary growth in conversations about non-Indigenous Whiteness and decolonization, and alongside a growing focus by geographers on Indigenous geographies, we argue that geography remains at risk of normalizing non-Indigenous ways of knowing and being and perpetuating colonial power. … </w:t>
      </w:r>
      <w:r>
        <w:rPr>
          <w:b/>
        </w:rPr>
        <w:t>We pointedly ask if the concept of decolonization is doing the work implicit in its meaning</w:t>
      </w:r>
      <w:r>
        <w:t>.</w:t>
      </w:r>
    </w:p>
    <w:p w14:paraId="15997001" w14:textId="77777777" w:rsidR="00076776" w:rsidRDefault="00076776"/>
    <w:p w14:paraId="3A6A844C" w14:textId="77777777" w:rsidR="00076776" w:rsidRDefault="00000000">
      <w:r>
        <w:rPr>
          <w:highlight w:val="green"/>
        </w:rPr>
        <w:t>@FFessay</w:t>
      </w:r>
      <w:r>
        <w:t>@Decol@SettPsych@</w:t>
      </w:r>
      <w:proofErr w:type="gramStart"/>
      <w:r>
        <w:t>Motherlode!@</w:t>
      </w:r>
      <w:proofErr w:type="gramEnd"/>
      <w:r>
        <w:t>Diss@IKSG</w:t>
      </w:r>
    </w:p>
    <w:p w14:paraId="23621859" w14:textId="77777777" w:rsidR="00076776" w:rsidRDefault="00000000">
      <w:r>
        <w:t xml:space="preserve">The hope of the work as a settler-ally is well expressed, here:  </w:t>
      </w:r>
    </w:p>
    <w:p w14:paraId="054CE5C7" w14:textId="77777777" w:rsidR="00076776" w:rsidRDefault="00000000">
      <w:pPr>
        <w:ind w:left="720"/>
      </w:pPr>
      <w:r>
        <w:t xml:space="preserve">Geographers working on decolonization … seek to understand the spatialization of settler colonial power in the hopes of undoing at least some of its resiliency. In many cases, </w:t>
      </w:r>
      <w:r>
        <w:rPr>
          <w:b/>
        </w:rPr>
        <w:t>by documenting the way settler colonial power ascends to unquestioned normalcy and recirculates as natural and given, the decolonizing project becomes one of suggesting counter realities or alternative ways of knowing and being.</w:t>
      </w:r>
      <w:r>
        <w:t xml:space="preserve"> This is especially the case when those alternative ways are put forth by Indigenous peoples, but sometimes as they are considered by settlers (Sparke, 1998; Braun, 2002a, 2002b; Cameron, 2015).</w:t>
      </w:r>
    </w:p>
    <w:p w14:paraId="7217B5CB" w14:textId="77777777" w:rsidR="00076776" w:rsidRDefault="00076776"/>
    <w:p w14:paraId="12A616EC" w14:textId="77777777" w:rsidR="00076776" w:rsidRDefault="00000000">
      <w:r>
        <w:t>6 @NeoCol@Map@LitThe@Academe@SettPsych</w:t>
      </w:r>
    </w:p>
    <w:p w14:paraId="08CA1E0D" w14:textId="77777777" w:rsidR="00076776" w:rsidRDefault="00000000">
      <w:pPr>
        <w:ind w:left="720"/>
      </w:pPr>
      <w:r>
        <w:t>Still, in developing critical theories about settler colonialism, decolonial geographers often continue to engage concepts of indigeneity rather than Indigenous peoples themselves, their scholarship, their lived experience, and knowledge contributions (Radcliffe, 2017). Outputs of this disciplinary decolonization tend to take the form of published scholarship and conversations between geographers and other academic scholars, outputs that might mean more to (again primarily White) non-Indigenous academic geographers than to Indigenous peoples and communities.</w:t>
      </w:r>
    </w:p>
    <w:p w14:paraId="4CEF82AF" w14:textId="77777777" w:rsidR="00076776" w:rsidRDefault="00076776"/>
    <w:p w14:paraId="1B7542A0" w14:textId="77777777" w:rsidR="00076776" w:rsidRDefault="00000000">
      <w:r>
        <w:lastRenderedPageBreak/>
        <w:t>7 @Contracolonial@ISr@Diss</w:t>
      </w:r>
    </w:p>
    <w:p w14:paraId="7C89BFCD" w14:textId="77777777" w:rsidR="00076776" w:rsidRDefault="00000000">
      <w:r>
        <w:t xml:space="preserve">A way to </w:t>
      </w:r>
      <w:proofErr w:type="spellStart"/>
      <w:r>
        <w:t>descrive</w:t>
      </w:r>
      <w:proofErr w:type="spellEnd"/>
      <w:r>
        <w:t xml:space="preserve"> what “research-as-practice” looks like, or even the Victoria Foundation work we attempted as a team: </w:t>
      </w:r>
    </w:p>
    <w:p w14:paraId="4B9006D8" w14:textId="77777777" w:rsidR="00076776" w:rsidRDefault="00000000">
      <w:pPr>
        <w:ind w:left="720"/>
      </w:pPr>
      <w:r>
        <w:t xml:space="preserve">Importantly, geographers are also decolonizing the discipline through the creation of </w:t>
      </w:r>
      <w:r>
        <w:rPr>
          <w:b/>
        </w:rPr>
        <w:t>collaborative writing and organizing practices</w:t>
      </w:r>
      <w:r>
        <w:t xml:space="preserve"> in which Indigenous and settler scholars work side by side in disrupting normative power dynamics in the very spaces in which geography reproduces itself. … Further, </w:t>
      </w:r>
      <w:r>
        <w:rPr>
          <w:b/>
        </w:rPr>
        <w:t>collaborative dialogue and writing among Indigenous and non-Indigenous scholars</w:t>
      </w:r>
      <w:r>
        <w:t xml:space="preserve"> is a growing practice in which dynamics of colonialism, decolonization, and Indigenous resurgence can be thought through in order to make visible some of the tensions in decolonizing work on the ground and in everyday life (Holmes, Hunt, &amp; </w:t>
      </w:r>
      <w:proofErr w:type="spellStart"/>
      <w:r>
        <w:t>Piedalue</w:t>
      </w:r>
      <w:proofErr w:type="spellEnd"/>
      <w:r>
        <w:t>, 2015; Hunt &amp; Holmes, 2015; de Leeuw, Cameron, &amp; Greenwood, 2012.)</w:t>
      </w:r>
    </w:p>
    <w:p w14:paraId="6F63718B" w14:textId="77777777" w:rsidR="00076776" w:rsidRDefault="00076776"/>
    <w:p w14:paraId="5507E2F9" w14:textId="77777777" w:rsidR="00076776" w:rsidRDefault="00000000">
      <w:r>
        <w:t>7 @NeoCol@ISr@Hegem@Acad@</w:t>
      </w:r>
      <w:proofErr w:type="gramStart"/>
      <w:r>
        <w:t>K?@</w:t>
      </w:r>
      <w:proofErr w:type="gramEnd"/>
      <w:r>
        <w:t>KTerm</w:t>
      </w:r>
    </w:p>
    <w:p w14:paraId="2A9B3F81" w14:textId="77777777" w:rsidR="00076776" w:rsidRDefault="00000000">
      <w:r>
        <w:t>Does this move us toward a working definition of “</w:t>
      </w:r>
      <w:r>
        <w:rPr>
          <w:b/>
        </w:rPr>
        <w:t>structural hypocrisy</w:t>
      </w:r>
      <w:r>
        <w:t xml:space="preserve">,” whereby, the </w:t>
      </w:r>
      <w:r>
        <w:rPr>
          <w:i/>
        </w:rPr>
        <w:t>act</w:t>
      </w:r>
      <w:r>
        <w:t xml:space="preserve"> of being an ally inevitably normalizes the colonial structures it intends to destabilize? </w:t>
      </w:r>
    </w:p>
    <w:p w14:paraId="20DFF18F" w14:textId="77777777" w:rsidR="00076776" w:rsidRDefault="00076776"/>
    <w:p w14:paraId="4A42CF8B" w14:textId="77777777" w:rsidR="00076776" w:rsidRDefault="00000000">
      <w:pPr>
        <w:ind w:left="720"/>
      </w:pPr>
      <w:r>
        <w:t xml:space="preserve">Geographers theorizing and enacting what they name as decolonization—especially non-Indigenous settler geographers—tend to have in common a series of ideals that they gesture toward. Such gestures, however, are often still decoupled from actual Indigenous peoples, voices, and places: While there may be a stated allegiance with Indigenous communities and scholars sometimes things as simple as locating oneself in an active colonial context, citing a significant number of Indigenous scholars, or including Indigenous voices, is lacking. Non-Indigenous geographers working on decolonizing geographies idealize a kind of hybrid scholar-activism that privileges on-the-ground anticolonial work focused on unsettling the supremacy of settler states: Here, geographers might be participating in rallies or anticolonial online communities; they might be protesting pipelines, organizing in support of land defense (McCreary &amp; Milligan, 2014; Pasternak, 2014), working with Indigenous youth organizations or even working with other settlers toward “culturally safe” interactions (Matthews, 1998). </w:t>
      </w:r>
      <w:r>
        <w:rPr>
          <w:b/>
        </w:rPr>
        <w:t>Still, it is important to consider the limits of these aspirational practices to truly decolonize a field which is largely enacted by White scholars living off the spoils of colonialism, including White settler scholars, and in which Indigenous presence is largely facilitated by, or filtered through, non-Indigenous “experts.”</w:t>
      </w:r>
    </w:p>
    <w:p w14:paraId="0020E41D" w14:textId="77777777" w:rsidR="00076776" w:rsidRDefault="00076776"/>
    <w:p w14:paraId="08DBCD22" w14:textId="77777777" w:rsidR="00076776" w:rsidRDefault="00000000">
      <w:r>
        <w:t>8 @IR@Acad@Resist!</w:t>
      </w:r>
    </w:p>
    <w:p w14:paraId="7359455A" w14:textId="77777777" w:rsidR="00076776" w:rsidRDefault="00000000">
      <w:pPr>
        <w:ind w:left="720"/>
      </w:pPr>
      <w:r>
        <w:t>Indigenous geographers have undertaken a twofold decolonial project: 1) asserting a presence of Indigenous geographies within the predominantly White Western-centric discipline and 2) upholding Indigenous spatial knowledge and place-based practices on their own terms. Although Indigenous geographies emerged in the 1960s, it was not until the 1990s that distinct spaces dedicated to indigeneity formed, largely through the work of Indigenous geographers and those working closely with Indigenous people and communities (Hunt, 2017). Indigenous geographies specialty groups are now present within geography associations</w:t>
      </w:r>
      <w:r>
        <w:rPr>
          <w:vertAlign w:val="superscript"/>
        </w:rPr>
        <w:t>2</w:t>
      </w:r>
      <w:r>
        <w:t xml:space="preserve"> around the world, with an explicit agenda to further decolonial work through the centering of Indigenous perspectives.</w:t>
      </w:r>
    </w:p>
    <w:p w14:paraId="42C67829" w14:textId="77777777" w:rsidR="00076776" w:rsidRDefault="00076776"/>
    <w:p w14:paraId="52FC8BCB" w14:textId="77777777" w:rsidR="00076776" w:rsidRDefault="00000000">
      <w:r>
        <w:lastRenderedPageBreak/>
        <w:t>9 @FFessay@</w:t>
      </w:r>
      <w:proofErr w:type="gramStart"/>
      <w:r>
        <w:t>Resist!@</w:t>
      </w:r>
      <w:proofErr w:type="gramEnd"/>
      <w:r>
        <w:t>IR@Decol@Soma@Border</w:t>
      </w:r>
    </w:p>
    <w:p w14:paraId="3D8BCEDA" w14:textId="77777777" w:rsidR="00076776" w:rsidRDefault="00000000">
      <w:pPr>
        <w:ind w:left="720"/>
      </w:pPr>
      <w:r>
        <w:t xml:space="preserve">The question of Indigenous peoples’ everyday practices—practices lived </w:t>
      </w:r>
      <w:r>
        <w:rPr>
          <w:i/>
        </w:rPr>
        <w:t>in place</w:t>
      </w:r>
      <w:r>
        <w:t xml:space="preserve">—is more than ideas or ideals: </w:t>
      </w:r>
      <w:r>
        <w:rPr>
          <w:b/>
        </w:rPr>
        <w:t>Given Indigenous lives, communities, languages, and cultures continue to bear the burden of settlement, material survival is at stake.</w:t>
      </w:r>
      <w:r>
        <w:t xml:space="preserve"> This work has the potential to challenge, disrupt, or </w:t>
      </w:r>
      <w:r>
        <w:rPr>
          <w:i/>
        </w:rPr>
        <w:t>unsettle</w:t>
      </w:r>
      <w:r>
        <w:t xml:space="preserve"> normative disciplinary areas of study, including the production and reproduction of borders that cut across Indigenous political orders and territories (A. Simpson, 2014), the nature of urban space and processes of urbanization and urban planning (Peters &amp; Andersen, 2013; Porter &amp; Barry, 2016; Wensing &amp; Porter, 2015), the spatiality of colonial governance as understood through everyday assertions of Indigenous self-determination (Daigle, 2016), and settler colonialism as a gendered form of spatial violence (Goeman, 2013).</w:t>
      </w:r>
    </w:p>
    <w:p w14:paraId="378B4E72" w14:textId="77777777" w:rsidR="00076776" w:rsidRDefault="00076776"/>
    <w:p w14:paraId="764D4FAA" w14:textId="77777777" w:rsidR="00076776" w:rsidRDefault="00000000">
      <w:r>
        <w:t>10 @Acad@Decol@Para@</w:t>
      </w:r>
      <w:proofErr w:type="gramStart"/>
      <w:r>
        <w:t>Link:</w:t>
      </w:r>
      <w:r>
        <w:rPr>
          <w:highlight w:val="magenta"/>
        </w:rPr>
        <w:t>Rose</w:t>
      </w:r>
      <w:proofErr w:type="gramEnd"/>
      <w:r>
        <w:rPr>
          <w:highlight w:val="magenta"/>
        </w:rPr>
        <w:t>-Redwood</w:t>
      </w:r>
    </w:p>
    <w:p w14:paraId="0EF62E50" w14:textId="77777777" w:rsidR="00076776" w:rsidRDefault="00000000">
      <w:pPr>
        <w:ind w:left="720"/>
      </w:pPr>
      <w:r>
        <w:t>Rather than relying on the labor of Indigenous peoples, settlers should undoubtedly play a key role in efforts to ‘decolonize’ (see Rose-Redwood, 2016 on settler responsibilities to go beyond the politics of recognition in toponymic politics). Nevertheless, decolonizing efforts across disciplinary boundaries continue to grapple with the tensions inherent in a project always at risk of reproducing its own imperialist authority.</w:t>
      </w:r>
    </w:p>
    <w:p w14:paraId="155B68CA" w14:textId="77777777" w:rsidR="00076776" w:rsidRDefault="00076776"/>
    <w:p w14:paraId="6ECFC9EC" w14:textId="77777777" w:rsidR="00076776" w:rsidRDefault="00000000">
      <w:r>
        <w:t>@Contracolonial@</w:t>
      </w:r>
      <w:proofErr w:type="gramStart"/>
      <w:r>
        <w:t>Resist!@</w:t>
      </w:r>
      <w:proofErr w:type="gramEnd"/>
      <w:r>
        <w:t>Hegem@Acad</w:t>
      </w:r>
    </w:p>
    <w:p w14:paraId="348259F2" w14:textId="77777777" w:rsidR="00076776" w:rsidRDefault="00000000">
      <w:pPr>
        <w:ind w:left="720"/>
      </w:pPr>
      <w:r>
        <w:t xml:space="preserve">What does it mean to read, write, and teach about decolonization absent of significant relationships with Indigenous peoples on whose land our universities are situated? … [1] … we urge our colleagues </w:t>
      </w:r>
      <w:r>
        <w:rPr>
          <w:b/>
        </w:rPr>
        <w:t>to politicize their own situated position on stolen or colonized land</w:t>
      </w:r>
      <w:r>
        <w:t xml:space="preserve"> and </w:t>
      </w:r>
      <w:r>
        <w:rPr>
          <w:b/>
        </w:rPr>
        <w:t>to reflect on how many geographies and positionalities around the world exist because of, or have profited from, colonial violence</w:t>
      </w:r>
      <w:r>
        <w:t xml:space="preserve">. … [2] We challenge geographers to </w:t>
      </w:r>
      <w:r>
        <w:rPr>
          <w:b/>
        </w:rPr>
        <w:t>ask themselves how much they know about the current and historic concerns of the peoples on whose lands they live and work,</w:t>
      </w:r>
      <w:r>
        <w:t xml:space="preserve"> and whose knowledges, histories, and lives they study (or choose not to study), and to consider how their own departments and programs can materially support local and international movements for decolonization of Indigenous lands and life. [3] … we challenge you to </w:t>
      </w:r>
      <w:r>
        <w:rPr>
          <w:b/>
        </w:rPr>
        <w:t xml:space="preserve">develop an unsettling praxis that accounts for your </w:t>
      </w:r>
      <w:proofErr w:type="gramStart"/>
      <w:r>
        <w:rPr>
          <w:b/>
        </w:rPr>
        <w:t>multiply-situated</w:t>
      </w:r>
      <w:proofErr w:type="gramEnd"/>
      <w:r>
        <w:rPr>
          <w:b/>
        </w:rPr>
        <w:t xml:space="preserve"> responsibilities</w:t>
      </w:r>
      <w:r>
        <w:t xml:space="preserve"> as interconnected, just as international Indigenous struggles are interconnected. [4] “…we suggest that it is necessary for geographers to </w:t>
      </w:r>
      <w:r>
        <w:rPr>
          <w:b/>
        </w:rPr>
        <w:t>do this decolonial work through solidarity practices that do not just result in publications or CV entries but through a qualitative shift in how geography</w:t>
      </w:r>
      <w:r>
        <w:t xml:space="preserve"> (as discipline, as program or department) imagines itself.</w:t>
      </w:r>
    </w:p>
    <w:p w14:paraId="07C17275" w14:textId="77777777" w:rsidR="00076776" w:rsidRDefault="00076776">
      <w:pPr>
        <w:ind w:left="720"/>
      </w:pPr>
    </w:p>
    <w:p w14:paraId="2350A84E" w14:textId="77777777" w:rsidR="00076776" w:rsidRDefault="00000000">
      <w:pPr>
        <w:pStyle w:val="Heading2"/>
      </w:pPr>
      <w:r>
        <w:t>Secondary quotes</w:t>
      </w:r>
    </w:p>
    <w:p w14:paraId="68557BD8" w14:textId="77777777" w:rsidR="00076776" w:rsidRDefault="00000000">
      <w:r>
        <w:t>3 @Thesis “… this paper considers the specificity of unsettling geography within settler colonial contexts.” / 4 @Poco@Decol “…</w:t>
      </w:r>
      <w:r>
        <w:rPr>
          <w:b/>
        </w:rPr>
        <w:t>postcolonial theory remains an established and productive domain of many geographers</w:t>
      </w:r>
      <w:r>
        <w:t xml:space="preserve">. Emerging as an intellectual space in which subaltern, often racialized, people can deconstruct and contest colonial thought and structures of power (see, for example, Fanon, 1963; Said, 1978; Spivak, 1988; and Bhabha, 1994), postcolonial theory offers, especially for those not focused on spaces of ongoing settler colonialism, a means to critique colonial power. In some cases, especially by </w:t>
      </w:r>
      <w:r>
        <w:rPr>
          <w:b/>
        </w:rPr>
        <w:t>undertaking close or counter readings of colonial discourses,</w:t>
      </w:r>
      <w:r>
        <w:t xml:space="preserve"> power, and texts (McEwan, 2003; Nash, 2002), this includes deploying concepts of </w:t>
      </w:r>
      <w:r>
        <w:lastRenderedPageBreak/>
        <w:t xml:space="preserve">decolonization (Blunt &amp; McEwan, 2003; Gilmartin &amp; Berg, 2007; Radcliffe, 2005).” / 4 “For more traditional postcolonial theorists of geography, decolonization is often a process by which specific spaces (usually nation states and countries) achieve independence from former or imperial colonial powers, often through revolution or armed resistance.” / 5 @Contracolonial@Map@NeoCol “These non-Indigenous often White geographers primarily attend to decolonization and anticolonialism in three somewhat separate but overlapping ways. [1] … geographers interrogate settler colonial power and call for the decolonizing of systems that reinforce settler colonial power. … [2] Critical efforts to decolonize ourselves as geographers and to decolonize our </w:t>
      </w:r>
      <w:proofErr w:type="gramStart"/>
      <w:r>
        <w:t>discipline as a whole</w:t>
      </w:r>
      <w:proofErr w:type="gramEnd"/>
      <w:r>
        <w:t xml:space="preserve">. [3] … attempts to decolonize geographic research methods and to articulate anticolonial behaviors and techniques. / 8-9 @IR@Acad “Critical Indigenous scholarship in recent decades reflected the urgent mobilization of Indigenous communities for the rights, self-determination, and survival of Indigenous peoples in the face of ongoing settler colonial violence. Importantly, this work is grounded in a politics of the present and future, emerging within an understanding that settler colonialism is persistent, relentless, and normative. Much of this scholarship is concerned with theorizing the spatiality of Indigenous knowledges.” / 9 @Media “Indigenous scholars argued the silencing effects of extending colonial frameworks that continue to define Indigenous people solely through victimization (Dean, 2015; Tuck, 2009).” </w:t>
      </w:r>
    </w:p>
    <w:p w14:paraId="327D008F" w14:textId="77777777" w:rsidR="00076776" w:rsidRDefault="00076776"/>
    <w:p w14:paraId="008B47CB" w14:textId="77777777" w:rsidR="00076776" w:rsidRDefault="00000000">
      <w:pPr>
        <w:pStyle w:val="Heading2"/>
      </w:pPr>
      <w:r>
        <w:t>Notes</w:t>
      </w:r>
    </w:p>
    <w:p w14:paraId="7A4DE20D" w14:textId="77777777" w:rsidR="00076776" w:rsidRDefault="00000000">
      <w:r>
        <w:t xml:space="preserve">2 I like the way they handle their position-statement: </w:t>
      </w:r>
    </w:p>
    <w:p w14:paraId="18E60C7B" w14:textId="77777777" w:rsidR="00076776" w:rsidRDefault="00076776"/>
    <w:p w14:paraId="4C797E02" w14:textId="77777777" w:rsidR="00076776" w:rsidRDefault="00000000">
      <w:pPr>
        <w:ind w:left="720"/>
      </w:pPr>
      <w:r>
        <w:t xml:space="preserve">“Sarah Hunt is a scholar-activist of </w:t>
      </w:r>
      <w:proofErr w:type="spellStart"/>
      <w:r>
        <w:t>Kwagiulth</w:t>
      </w:r>
      <w:proofErr w:type="spellEnd"/>
      <w:r>
        <w:t xml:space="preserve"> (Kwakwaka’wakw) and Ukrainian and English ancestry. She grew up living primarily in Lekwungen territories, spending her teen years living on the Songhees reserve in what is now known as Victoria, BC. …” </w:t>
      </w:r>
    </w:p>
    <w:p w14:paraId="6BE3FCD3" w14:textId="77777777" w:rsidR="00076776" w:rsidRDefault="00076776"/>
    <w:p w14:paraId="24670C49" w14:textId="77777777" w:rsidR="00076776" w:rsidRDefault="00000000">
      <w:r>
        <w:t xml:space="preserve">7 @Diss@FFessay@Todo: follow-up on these readings, which could be specific to toponymic unsettling: </w:t>
      </w:r>
    </w:p>
    <w:p w14:paraId="204F1A13" w14:textId="77777777" w:rsidR="00076776" w:rsidRDefault="00076776"/>
    <w:p w14:paraId="15A7FE4E" w14:textId="77777777" w:rsidR="00076776" w:rsidRDefault="00000000">
      <w:pPr>
        <w:ind w:left="720"/>
      </w:pPr>
      <w:r>
        <w:t>“Some also suggest ways to critically (counter) map Indigenous spaces, place names, and topologies (Johnson et al., 2005; Louis et al., 2012; Wainwright &amp; Bryan, 2009).”</w:t>
      </w:r>
    </w:p>
    <w:p w14:paraId="68D3C10A" w14:textId="77777777" w:rsidR="00076776" w:rsidRDefault="00076776"/>
    <w:p w14:paraId="1EA17A25" w14:textId="77777777" w:rsidR="00076776" w:rsidRDefault="00000000">
      <w:pPr>
        <w:numPr>
          <w:ilvl w:val="0"/>
          <w:numId w:val="10"/>
        </w:numPr>
        <w:pBdr>
          <w:top w:val="nil"/>
          <w:left w:val="nil"/>
          <w:bottom w:val="nil"/>
          <w:right w:val="nil"/>
          <w:between w:val="nil"/>
        </w:pBdr>
        <w:rPr>
          <w:color w:val="000000"/>
        </w:rPr>
      </w:pPr>
      <w:r>
        <w:rPr>
          <w:color w:val="000000"/>
        </w:rPr>
        <w:t xml:space="preserve">Johnson, J. T., </w:t>
      </w:r>
      <w:proofErr w:type="gramStart"/>
      <w:r>
        <w:rPr>
          <w:color w:val="000000"/>
        </w:rPr>
        <w:t>Cant</w:t>
      </w:r>
      <w:proofErr w:type="gramEnd"/>
      <w:r>
        <w:rPr>
          <w:color w:val="000000"/>
        </w:rPr>
        <w:t>, G., Howitt, R., &amp; Peters, E. (2007). Creating anti</w:t>
      </w:r>
      <w:r>
        <w:t>-</w:t>
      </w:r>
      <w:r>
        <w:rPr>
          <w:color w:val="000000"/>
        </w:rPr>
        <w:t>colonial geographies: Embracing Indigenous peoples’ knowledges and rights. Geographical Research, 45(2), 117–120.</w:t>
      </w:r>
    </w:p>
    <w:p w14:paraId="33D7AB4B" w14:textId="77777777" w:rsidR="00076776" w:rsidRDefault="00000000">
      <w:pPr>
        <w:numPr>
          <w:ilvl w:val="0"/>
          <w:numId w:val="10"/>
        </w:numPr>
        <w:pBdr>
          <w:top w:val="nil"/>
          <w:left w:val="nil"/>
          <w:bottom w:val="nil"/>
          <w:right w:val="nil"/>
          <w:between w:val="nil"/>
        </w:pBdr>
        <w:rPr>
          <w:color w:val="000000"/>
        </w:rPr>
      </w:pPr>
      <w:r>
        <w:rPr>
          <w:color w:val="000000"/>
        </w:rPr>
        <w:t>Johnson, J. T., &amp; Larsen, S. C. (2013). A deeper sense of place: Stories and journeys of collaboration in Indigenous research. Oregon State University Press.</w:t>
      </w:r>
    </w:p>
    <w:p w14:paraId="73D32B84" w14:textId="77777777" w:rsidR="00076776" w:rsidRDefault="00000000">
      <w:pPr>
        <w:numPr>
          <w:ilvl w:val="0"/>
          <w:numId w:val="10"/>
        </w:numPr>
        <w:pBdr>
          <w:top w:val="nil"/>
          <w:left w:val="nil"/>
          <w:bottom w:val="nil"/>
          <w:right w:val="nil"/>
          <w:between w:val="nil"/>
        </w:pBdr>
        <w:rPr>
          <w:color w:val="000000"/>
        </w:rPr>
      </w:pPr>
      <w:r>
        <w:rPr>
          <w:color w:val="000000"/>
        </w:rPr>
        <w:t>Johnson, J. T., et al. (2005). Facing the future: encouraging critical cartographic literacies in indigenous communities. ACME: An International Journal for Critical Geographies, 4(1), 80–98.</w:t>
      </w:r>
    </w:p>
    <w:p w14:paraId="07396DE7" w14:textId="77777777" w:rsidR="00076776" w:rsidRDefault="00000000">
      <w:pPr>
        <w:numPr>
          <w:ilvl w:val="0"/>
          <w:numId w:val="10"/>
        </w:numPr>
        <w:pBdr>
          <w:top w:val="nil"/>
          <w:left w:val="nil"/>
          <w:bottom w:val="nil"/>
          <w:right w:val="nil"/>
          <w:between w:val="nil"/>
        </w:pBdr>
        <w:rPr>
          <w:color w:val="000000"/>
        </w:rPr>
      </w:pPr>
      <w:r>
        <w:rPr>
          <w:color w:val="000000"/>
        </w:rPr>
        <w:t xml:space="preserve">Louis, R. P., Johnson, J. T., &amp; </w:t>
      </w:r>
      <w:proofErr w:type="spellStart"/>
      <w:r>
        <w:rPr>
          <w:color w:val="000000"/>
        </w:rPr>
        <w:t>Pramono</w:t>
      </w:r>
      <w:proofErr w:type="spellEnd"/>
      <w:r>
        <w:rPr>
          <w:color w:val="000000"/>
        </w:rPr>
        <w:t>, A. H. (2012). Introduction: Indigenous cartographies and counter</w:t>
      </w:r>
      <w:r>
        <w:t>-</w:t>
      </w:r>
      <w:r>
        <w:rPr>
          <w:color w:val="000000"/>
        </w:rPr>
        <w:t xml:space="preserve">mapping. </w:t>
      </w:r>
      <w:proofErr w:type="spellStart"/>
      <w:r>
        <w:rPr>
          <w:color w:val="000000"/>
        </w:rPr>
        <w:t>Cartographica</w:t>
      </w:r>
      <w:proofErr w:type="spellEnd"/>
      <w:r>
        <w:rPr>
          <w:color w:val="000000"/>
        </w:rPr>
        <w:t>, 47(2), 77–79.</w:t>
      </w:r>
    </w:p>
    <w:p w14:paraId="4139EFA4" w14:textId="77777777" w:rsidR="00076776" w:rsidRDefault="00000000">
      <w:pPr>
        <w:numPr>
          <w:ilvl w:val="0"/>
          <w:numId w:val="10"/>
        </w:numPr>
        <w:pBdr>
          <w:top w:val="nil"/>
          <w:left w:val="nil"/>
          <w:bottom w:val="nil"/>
          <w:right w:val="nil"/>
          <w:between w:val="nil"/>
        </w:pBdr>
        <w:rPr>
          <w:color w:val="000000"/>
        </w:rPr>
      </w:pPr>
      <w:r>
        <w:rPr>
          <w:color w:val="000000"/>
        </w:rPr>
        <w:t>Wainwright, J., &amp; Bryan, J. (2009). Cartography, territory, property: Postcolonial reflections on indigenous counter-mapping in Nicaragua and Belize. Cultural Geographies, 16(2), 153–178.</w:t>
      </w:r>
    </w:p>
    <w:p w14:paraId="66AB2D4F" w14:textId="77777777" w:rsidR="00076776" w:rsidRDefault="00076776"/>
    <w:p w14:paraId="4FF61B85" w14:textId="77777777" w:rsidR="00076776" w:rsidRDefault="00000000">
      <w:r>
        <w:lastRenderedPageBreak/>
        <w:t xml:space="preserve">7 @FFessay@Diss@Ethics Great quote for the shift in the field, which could apply to DH, too: </w:t>
      </w:r>
    </w:p>
    <w:p w14:paraId="2F8AA5C5" w14:textId="77777777" w:rsidR="00076776" w:rsidRDefault="00076776"/>
    <w:p w14:paraId="750631FB" w14:textId="77777777" w:rsidR="00076776" w:rsidRDefault="00000000">
      <w:pPr>
        <w:ind w:left="720"/>
      </w:pPr>
      <w:r>
        <w:t>As discussed by Coombes, Johnson, and Howitt (2014), unsettling community-based research and publication with Indigenous communities requires “a new relational ethics which unsettles any remaining binaries that survived the qualitative revolution in human geography: Ethics becomes method; data becomes life; landscape becomes author’ participants become family” (p. 850).</w:t>
      </w:r>
    </w:p>
    <w:p w14:paraId="09B86BF7" w14:textId="77777777" w:rsidR="00076776" w:rsidRDefault="00076776">
      <w:pPr>
        <w:ind w:left="720"/>
      </w:pPr>
    </w:p>
    <w:p w14:paraId="031286ED" w14:textId="77777777" w:rsidR="00076776" w:rsidRDefault="00000000">
      <w:pPr>
        <w:numPr>
          <w:ilvl w:val="0"/>
          <w:numId w:val="1"/>
        </w:numPr>
        <w:pBdr>
          <w:top w:val="nil"/>
          <w:left w:val="nil"/>
          <w:bottom w:val="nil"/>
          <w:right w:val="nil"/>
          <w:between w:val="nil"/>
        </w:pBdr>
        <w:rPr>
          <w:color w:val="000000"/>
        </w:rPr>
      </w:pPr>
      <w:r>
        <w:rPr>
          <w:color w:val="000000"/>
        </w:rPr>
        <w:t xml:space="preserve">Coombes, B., Johnson, J. T., &amp; Howitt, R. (2014). Indigenous geographies III: Methodological innovation and the unsetting of </w:t>
      </w:r>
      <w:proofErr w:type="spellStart"/>
      <w:r>
        <w:rPr>
          <w:color w:val="000000"/>
        </w:rPr>
        <w:t>paticipatory</w:t>
      </w:r>
      <w:proofErr w:type="spellEnd"/>
      <w:r>
        <w:rPr>
          <w:color w:val="000000"/>
        </w:rPr>
        <w:t xml:space="preserve"> research. Progress in Human Geography, 38(6), 845–854.</w:t>
      </w:r>
    </w:p>
    <w:p w14:paraId="78CEDB4E" w14:textId="77777777" w:rsidR="00076776" w:rsidRDefault="00076776">
      <w:pPr>
        <w:rPr>
          <w:b/>
        </w:rPr>
      </w:pPr>
    </w:p>
    <w:p w14:paraId="32C03BCC" w14:textId="77777777" w:rsidR="00076776" w:rsidRDefault="00000000">
      <w:r>
        <w:rPr>
          <w:b/>
        </w:rPr>
        <w:t>@GapAn@CounterArg@K?</w:t>
      </w:r>
      <w:r>
        <w:t xml:space="preserve"> D&amp;H offer some guiding principles, but I do not see much by way of “how-</w:t>
      </w:r>
      <w:proofErr w:type="spellStart"/>
      <w:r>
        <w:t>to’s</w:t>
      </w:r>
      <w:proofErr w:type="spellEnd"/>
      <w:r>
        <w:t xml:space="preserve">” in their “challenges,” and I struggle to see how most settlers would find </w:t>
      </w:r>
      <w:r>
        <w:rPr>
          <w:i/>
        </w:rPr>
        <w:t>practical</w:t>
      </w:r>
      <w:r>
        <w:t xml:space="preserve"> ways to engage in this work from these suggestions? Could we talk about hiring practices? I like all these suggestions, but I have a hard time picturing what a “qualitative shift” looks like on the ground. </w:t>
      </w:r>
    </w:p>
    <w:p w14:paraId="13C2C047" w14:textId="77777777" w:rsidR="00076776" w:rsidRDefault="00076776"/>
    <w:p w14:paraId="31571BFE" w14:textId="77777777" w:rsidR="00076776" w:rsidRDefault="00000000">
      <w:pPr>
        <w:pStyle w:val="Heading1"/>
      </w:pPr>
      <w:bookmarkStart w:id="21" w:name="_heading=h.1y810tw" w:colFirst="0" w:colLast="0"/>
      <w:bookmarkEnd w:id="21"/>
      <w:r>
        <w:t>(2018) Earhart: “Can We Trust the University? Digital Humanities Collaborations with Historically Exploited Cultural Communities”</w:t>
      </w:r>
    </w:p>
    <w:p w14:paraId="75D99B96" w14:textId="77777777" w:rsidR="00076776" w:rsidRDefault="00076776">
      <w:pPr>
        <w:rPr>
          <w:b/>
        </w:rPr>
      </w:pPr>
    </w:p>
    <w:p w14:paraId="3832D22A" w14:textId="77777777" w:rsidR="00076776" w:rsidRDefault="00000000">
      <w:pPr>
        <w:pStyle w:val="Heading2"/>
      </w:pPr>
      <w:r>
        <w:t xml:space="preserve">Abstract </w:t>
      </w:r>
    </w:p>
    <w:p w14:paraId="10B554BA" w14:textId="77777777" w:rsidR="00076776" w:rsidRDefault="00000000">
      <w:r>
        <w:t xml:space="preserve">A manifesto on DH self-reflection and practices when working with and for traditionally marginalized communities. </w:t>
      </w:r>
    </w:p>
    <w:p w14:paraId="17801148" w14:textId="77777777" w:rsidR="00076776" w:rsidRDefault="00076776"/>
    <w:p w14:paraId="2723A2FE" w14:textId="77777777" w:rsidR="00076776" w:rsidRDefault="00000000">
      <w:pPr>
        <w:pStyle w:val="Heading2"/>
      </w:pPr>
      <w:r>
        <w:t>Keywords</w:t>
      </w:r>
    </w:p>
    <w:p w14:paraId="1D30A7B8" w14:textId="77777777" w:rsidR="00076776" w:rsidRDefault="00000000">
      <w:r>
        <w:t xml:space="preserve">DH, social justice, nonexploitive principles, best practices, research </w:t>
      </w:r>
    </w:p>
    <w:p w14:paraId="6E9EEF38" w14:textId="77777777" w:rsidR="00076776" w:rsidRDefault="00076776"/>
    <w:p w14:paraId="624C2C15" w14:textId="77777777" w:rsidR="00076776" w:rsidRDefault="00000000">
      <w:pPr>
        <w:pStyle w:val="Heading2"/>
      </w:pPr>
      <w:r>
        <w:t>Essential quote</w:t>
      </w:r>
    </w:p>
    <w:p w14:paraId="1F43FB52" w14:textId="77777777" w:rsidR="00076776" w:rsidRDefault="00000000">
      <w:r>
        <w:t xml:space="preserve">1: [@DECOL] … we must develop a set of best practices for all of us who are working with historically marginalized communities, recognizing that an understanding of individual and group situatedness is crucial to digital humanities practices.  </w:t>
      </w:r>
    </w:p>
    <w:p w14:paraId="0E0D3C87" w14:textId="77777777" w:rsidR="00076776" w:rsidRDefault="00076776"/>
    <w:p w14:paraId="2CD7C250" w14:textId="77777777" w:rsidR="00076776" w:rsidRDefault="00000000">
      <w:pPr>
        <w:pStyle w:val="Heading2"/>
      </w:pPr>
      <w:r>
        <w:t>Terms</w:t>
      </w:r>
    </w:p>
    <w:p w14:paraId="6C464489" w14:textId="77777777" w:rsidR="00076776" w:rsidRDefault="00000000">
      <w:r>
        <w:t xml:space="preserve">2: </w:t>
      </w:r>
      <w:r>
        <w:rPr>
          <w:b/>
        </w:rPr>
        <w:t>exploitation</w:t>
      </w:r>
      <w:r>
        <w:t>, in the DH context: @EG/@SJ/</w:t>
      </w:r>
      <w:r>
        <w:rPr>
          <w:b/>
        </w:rPr>
        <w:t>@Term</w:t>
      </w:r>
      <w:r>
        <w:t xml:space="preserve">/@Academe/@SettBrain/@UL … a revealing and disturbing use of the term “exploitation” by scholars in their understanding of digital data. One might exploit “diverse digital media and strategies while maintaining the scholarly apparatus of a research paper” (Johanson et al., 132). [@DECOL] […] </w:t>
      </w:r>
      <w:r>
        <w:rPr>
          <w:highlight w:val="green"/>
        </w:rPr>
        <w:t xml:space="preserve">The blithe way that one might consider how to exploit data points to the underlying assumption that data are </w:t>
      </w:r>
      <w:r>
        <w:rPr>
          <w:highlight w:val="green"/>
        </w:rPr>
        <w:lastRenderedPageBreak/>
        <w:t>without value, that items have no cultural connection to those who produced the knowledge, is a sleight-of-hand move that provides a dual exploitation as value is removed and, at the same time, the value of the cultural knowledge is displaced and even consumed</w:t>
      </w:r>
      <w:r>
        <w:t>.</w:t>
      </w:r>
    </w:p>
    <w:p w14:paraId="5EC034ED" w14:textId="77777777" w:rsidR="00076776" w:rsidRDefault="00000000">
      <w:r>
        <w:t xml:space="preserve">3: </w:t>
      </w:r>
      <w:r>
        <w:rPr>
          <w:b/>
        </w:rPr>
        <w:t>positionality</w:t>
      </w:r>
      <w:r>
        <w:t xml:space="preserve">: The recognition of one’s own experience in relationship to complex positionality is crucial to understanding how we, as digital humanities scholars, might work in ethical, nonexploitive ways, attending to what might be missteps due to lack of consideration. </w:t>
      </w:r>
    </w:p>
    <w:p w14:paraId="0EBB5D5D" w14:textId="77777777" w:rsidR="00076776" w:rsidRDefault="00076776"/>
    <w:p w14:paraId="44F97687" w14:textId="77777777" w:rsidR="00076776" w:rsidRDefault="00000000">
      <w:pPr>
        <w:pStyle w:val="Heading2"/>
      </w:pPr>
      <w:r>
        <w:t>Core quotes</w:t>
      </w:r>
    </w:p>
    <w:p w14:paraId="3144E64C" w14:textId="77777777" w:rsidR="00076776" w:rsidRDefault="00000000">
      <w:r>
        <w:t>1-2 @FFessay@Motherlode@Thesis@SJ@Knote@IndTech.</w:t>
      </w:r>
    </w:p>
    <w:p w14:paraId="3B43AF80" w14:textId="77777777" w:rsidR="00076776" w:rsidRDefault="00000000">
      <w:r>
        <w:t xml:space="preserve"> This pretty much is my goal for DH: </w:t>
      </w:r>
    </w:p>
    <w:p w14:paraId="2EB09CB0" w14:textId="77777777" w:rsidR="00076776" w:rsidRDefault="00076776"/>
    <w:p w14:paraId="4877E7F3" w14:textId="77777777" w:rsidR="00076776" w:rsidRDefault="00000000">
      <w:pPr>
        <w:ind w:left="720"/>
      </w:pPr>
      <w:r>
        <w:t xml:space="preserve">Excellent work in negotiating </w:t>
      </w:r>
      <w:r>
        <w:rPr>
          <w:b/>
        </w:rPr>
        <w:t xml:space="preserve">this long-standing problem is occurring in pockets of digital humanities work, with scholars working in indigenous studies leading the way. </w:t>
      </w:r>
      <w:r>
        <w:t xml:space="preserve">However, we must develop a set of best practices for all of us who are working with historically marginalized communities, recognizing that an understanding of individual and group situatedness is crucial to digital humanities practices. … </w:t>
      </w:r>
      <w:r>
        <w:rPr>
          <w:b/>
        </w:rPr>
        <w:t>First</w:t>
      </w:r>
      <w:r>
        <w:t xml:space="preserve">, we must </w:t>
      </w:r>
      <w:r>
        <w:rPr>
          <w:b/>
        </w:rPr>
        <w:t>understand the relationship between our localized environment and the community</w:t>
      </w:r>
      <w:r>
        <w:t xml:space="preserve"> with which we would like to partner. </w:t>
      </w:r>
      <w:r>
        <w:rPr>
          <w:b/>
        </w:rPr>
        <w:t>Second</w:t>
      </w:r>
      <w:r>
        <w:t xml:space="preserve">, we must </w:t>
      </w:r>
      <w:r>
        <w:rPr>
          <w:b/>
        </w:rPr>
        <w:t>interrogate issues of ownership</w:t>
      </w:r>
      <w:r>
        <w:t xml:space="preserve"> and control. Careful attention to both must occur, for without such introspection, we will end up exploiting communities with which we engage. Further, social justice digital humanities practitioners must begin the difficult task of articulating best practices that account for such issues, including the development of safeguards for communities. A baseline concern needs to be that we might </w:t>
      </w:r>
      <w:r>
        <w:rPr>
          <w:b/>
        </w:rPr>
        <w:t>think about our materials as data, but that the data are not a free-floating signifier; instead, that data are always a part of a community or individual</w:t>
      </w:r>
      <w:r>
        <w:t xml:space="preserve">. </w:t>
      </w:r>
    </w:p>
    <w:p w14:paraId="3B0A3137" w14:textId="77777777" w:rsidR="00076776" w:rsidRDefault="00076776">
      <w:pPr>
        <w:ind w:left="720"/>
      </w:pPr>
    </w:p>
    <w:p w14:paraId="110EDFF4" w14:textId="77777777" w:rsidR="00076776" w:rsidRDefault="00076776"/>
    <w:p w14:paraId="02B2465F" w14:textId="77777777" w:rsidR="00076776" w:rsidRDefault="00000000">
      <w:r>
        <w:t>2 @DHmeth@TechDev@Acad@Hegem@Fem</w:t>
      </w:r>
    </w:p>
    <w:p w14:paraId="0C425CDE" w14:textId="77777777" w:rsidR="00076776" w:rsidRDefault="00000000">
      <w:pPr>
        <w:ind w:left="720"/>
      </w:pPr>
      <w:r>
        <w:t>Networks are contingent upon “technological, biological, social, and political” forces and, as such, need to be analyzed within such complicated webs, effectively a similar argument to how intersectional feminism understands power relations. This is not an issue with our field per se, but about how the methodological approaches of turning lived experience and cultural expression into digital data for computer manipulation, the way that we gather data, is disconnected from the recognition that data are always connected to people and to lived experience. It is a humanities problem that centers the humanities within technological questions, the heart of digital humanities.</w:t>
      </w:r>
    </w:p>
    <w:p w14:paraId="68F16686" w14:textId="77777777" w:rsidR="00076776" w:rsidRDefault="00076776">
      <w:pPr>
        <w:ind w:left="720"/>
      </w:pPr>
    </w:p>
    <w:p w14:paraId="0FF70428" w14:textId="77777777" w:rsidR="00076776" w:rsidRDefault="00000000">
      <w:pPr>
        <w:rPr>
          <w:highlight w:val="green"/>
        </w:rPr>
      </w:pPr>
      <w:r>
        <w:rPr>
          <w:highlight w:val="green"/>
        </w:rPr>
        <w:t>3-4 @Thesis@Decol@IndTech@DHmeth</w:t>
      </w:r>
    </w:p>
    <w:p w14:paraId="126722CA" w14:textId="77777777" w:rsidR="00076776" w:rsidRDefault="00000000">
      <w:pPr>
        <w:ind w:left="720"/>
      </w:pPr>
      <w:r>
        <w:t xml:space="preserve">We are at a moment where we need to think about how the exploitation of data is related to historical exploitation of people(s), to reconnect the digital with embodied experience. Mark Turin notes, “Archives become more complex when the ‘documents’ in question are representations of human ‘subjects’” (Turin, 453).[9]. […] We need to think about how our data embody experience. … No longer can we displace the human, as we are engaged with the person who is the data experienced through our own body. Another way to view the centeredness of the human body is to recognize the way that bodies have been </w:t>
      </w:r>
      <w:r>
        <w:lastRenderedPageBreak/>
        <w:t>used or exploited and how such exploitations are related to cultural knowledge exploitation.</w:t>
      </w:r>
    </w:p>
    <w:p w14:paraId="19AE51F6" w14:textId="77777777" w:rsidR="00076776" w:rsidRDefault="00076776"/>
    <w:p w14:paraId="4F8B1525" w14:textId="77777777" w:rsidR="00076776" w:rsidRDefault="00000000">
      <w:r>
        <w:rPr>
          <w:highlight w:val="green"/>
        </w:rPr>
        <w:t>4 @Thesis/@Contracolonial/@Indigitization/@DHmeth@Acad</w:t>
      </w:r>
      <w:r>
        <w:t>@DECOL</w:t>
      </w:r>
    </w:p>
    <w:p w14:paraId="25B710EC" w14:textId="77777777" w:rsidR="00076776" w:rsidRDefault="00000000">
      <w:pPr>
        <w:ind w:left="720"/>
      </w:pPr>
      <w:r>
        <w:t xml:space="preserve">To center the human experience, to rethink our working partnerships with historically marginalized communities, necessitates the development of best practices, but we have not yet, collectively, considered how we might articulate a framework for research. </w:t>
      </w:r>
      <w:r>
        <w:rPr>
          <w:b/>
        </w:rPr>
        <w:t>We might look to indigenous studies and museum studies communities for guidance in developing best practices.</w:t>
      </w:r>
      <w:r>
        <w:t xml:space="preserve"> Kimberly Christen Withey, a digital humanities and indigenous studies scholar, has a long history of scholarship and digital project production that is careful to consider ownership and concepts of openness, including the idea that “information wants to be free.”[12] Kimberly Christen </w:t>
      </w:r>
      <w:proofErr w:type="spellStart"/>
      <w:r>
        <w:t>Whithey’s</w:t>
      </w:r>
      <w:proofErr w:type="spellEnd"/>
      <w:r>
        <w:t xml:space="preserve"> </w:t>
      </w:r>
      <w:proofErr w:type="spellStart"/>
      <w:r>
        <w:rPr>
          <w:i/>
        </w:rPr>
        <w:t>Mukurtu</w:t>
      </w:r>
      <w:proofErr w:type="spellEnd"/>
      <w:r>
        <w:t xml:space="preserve"> is a “community archive platform . . . adaptable to the local cultural protocols and intellectual property rights systems of Indigenous communities”[13].</w:t>
      </w:r>
    </w:p>
    <w:p w14:paraId="7B10F776" w14:textId="77777777" w:rsidR="00076776" w:rsidRDefault="00000000">
      <w:r>
        <w:t xml:space="preserve"> </w:t>
      </w:r>
    </w:p>
    <w:p w14:paraId="54F25FE1" w14:textId="77777777" w:rsidR="00076776" w:rsidRDefault="00000000">
      <w:r>
        <w:t>4-5 @Contracolonial/@Indigitization/@DHmeth</w:t>
      </w:r>
    </w:p>
    <w:p w14:paraId="715517DF" w14:textId="77777777" w:rsidR="00076776" w:rsidRDefault="00000000">
      <w:pPr>
        <w:ind w:left="720"/>
      </w:pPr>
      <w:r>
        <w:t xml:space="preserve">Scholars have a responsibility to address the ways that technological specifications might force Western representations of knowledge onto materials that do not use such systems. </w:t>
      </w:r>
    </w:p>
    <w:p w14:paraId="6881BDBF" w14:textId="77777777" w:rsidR="00076776" w:rsidRDefault="00076776"/>
    <w:p w14:paraId="54592C44" w14:textId="77777777" w:rsidR="00076776" w:rsidRDefault="00000000">
      <w:r>
        <w:rPr>
          <w:highlight w:val="green"/>
        </w:rPr>
        <w:t>5 @</w:t>
      </w:r>
      <w:proofErr w:type="gramStart"/>
      <w:r>
        <w:rPr>
          <w:highlight w:val="green"/>
        </w:rPr>
        <w:t>Motherlode!/</w:t>
      </w:r>
      <w:proofErr w:type="gramEnd"/>
      <w:r>
        <w:rPr>
          <w:highlight w:val="green"/>
        </w:rPr>
        <w:t>@Contracolonial/@Indigitization/@DHmeth/@EG/@Hegem/@Ethics</w:t>
      </w:r>
      <w:r>
        <w:t xml:space="preserve"> </w:t>
      </w:r>
    </w:p>
    <w:p w14:paraId="7C040B69" w14:textId="77777777" w:rsidR="00076776" w:rsidRDefault="00000000">
      <w:pPr>
        <w:ind w:left="720"/>
      </w:pPr>
      <w:r>
        <w:t xml:space="preserve">When we think about digital humanities projects, we need to recognize that there is more than a set of technological specifications that represent best practices. For example, the University of Nebraska has released “Best Practices for Digital Humanities Projects,” a document focused on technical issues related to interoperability and preservation including the use of XML, EAC, METS and other such standards.[17] The problem with such a narrow focus, however, is that such </w:t>
      </w:r>
      <w:r>
        <w:rPr>
          <w:b/>
        </w:rPr>
        <w:t>metadata standards may run counter to certain marginalized communities’ understanding of preservation or knowledge</w:t>
      </w:r>
      <w:r>
        <w:t xml:space="preserve">. </w:t>
      </w:r>
      <w:r>
        <w:rPr>
          <w:b/>
        </w:rPr>
        <w:t>For digital humanists, best practices might be better understood as ethical guidelines of practice.</w:t>
      </w:r>
    </w:p>
    <w:p w14:paraId="4236ABC3" w14:textId="77777777" w:rsidR="00076776" w:rsidRDefault="00076776"/>
    <w:p w14:paraId="466831FA" w14:textId="77777777" w:rsidR="00076776" w:rsidRDefault="00000000">
      <w:r>
        <w:t>5 @Contracolonial@Acad@Narr@Diss@NeoCol</w:t>
      </w:r>
    </w:p>
    <w:p w14:paraId="2652315E" w14:textId="77777777" w:rsidR="00076776" w:rsidRDefault="00000000">
      <w:r>
        <w:t xml:space="preserve">To build on this, Earhart rightly points to conspicuously lack of these discussions in the guidelines of existing academic bodies, like the MLA: </w:t>
      </w:r>
    </w:p>
    <w:p w14:paraId="3A3CAC0E" w14:textId="77777777" w:rsidR="00076776" w:rsidRDefault="00000000">
      <w:pPr>
        <w:ind w:left="720"/>
      </w:pPr>
      <w:r>
        <w:t xml:space="preserve">We see this same issue in </w:t>
      </w:r>
      <w:r>
        <w:rPr>
          <w:b/>
        </w:rPr>
        <w:t>the Modern Language Association’s (MLA’s) “Guidelines for Authors of Digital Resources,” where the focus of the guidelines privileges an academic, Western understanding of knowledge and ownership.</w:t>
      </w:r>
      <w:r>
        <w:t xml:space="preserve"> The “Authorship and Credit” statement doesn’t represent how a community might own knowledge. </w:t>
      </w:r>
      <w:r>
        <w:rPr>
          <w:b/>
        </w:rPr>
        <w:t xml:space="preserve">How, for example, does one extend credit to oral histories? What responsibilities does a digital scholar have to the individual who recounts a story </w:t>
      </w:r>
      <w:proofErr w:type="gramStart"/>
      <w:r>
        <w:rPr>
          <w:b/>
        </w:rPr>
        <w:t>and also</w:t>
      </w:r>
      <w:proofErr w:type="gramEnd"/>
      <w:r>
        <w:rPr>
          <w:b/>
        </w:rPr>
        <w:t xml:space="preserve"> to the community that has, over years, built a particular oral narrative?</w:t>
      </w:r>
      <w:r>
        <w:t>”</w:t>
      </w:r>
    </w:p>
    <w:p w14:paraId="44A164CF" w14:textId="77777777" w:rsidR="00076776" w:rsidRDefault="00076776"/>
    <w:p w14:paraId="7EA53D3A" w14:textId="77777777" w:rsidR="00076776" w:rsidRDefault="00000000">
      <w:pPr>
        <w:rPr>
          <w:highlight w:val="green"/>
        </w:rPr>
      </w:pPr>
      <w:r>
        <w:rPr>
          <w:highlight w:val="green"/>
        </w:rPr>
        <w:t>6 @</w:t>
      </w:r>
      <w:proofErr w:type="gramStart"/>
      <w:r>
        <w:rPr>
          <w:highlight w:val="green"/>
        </w:rPr>
        <w:t>Mothelode!@</w:t>
      </w:r>
      <w:proofErr w:type="gramEnd"/>
      <w:r>
        <w:rPr>
          <w:highlight w:val="green"/>
        </w:rPr>
        <w:t>Contracolonial@IndTech@DHmeth@EG@Hegem@Ethics@Diss</w:t>
      </w:r>
    </w:p>
    <w:p w14:paraId="242AC6B8" w14:textId="77777777" w:rsidR="00076776" w:rsidRDefault="00000000">
      <w:pPr>
        <w:ind w:left="720"/>
      </w:pPr>
      <w:r>
        <w:rPr>
          <w:b/>
        </w:rPr>
        <w:t>As indigenous scholars have demonstrated, some stories are not for public consumption.</w:t>
      </w:r>
      <w:r>
        <w:t xml:space="preserve"> </w:t>
      </w:r>
      <w:r>
        <w:rPr>
          <w:b/>
        </w:rPr>
        <w:t>Guidelines must consider this within an ethical framework of cultural context, rather than presuppose a linear and individual understanding of ownership</w:t>
      </w:r>
      <w:r>
        <w:t xml:space="preserve">. // We need to develop an ethics of practice that account for what </w:t>
      </w:r>
      <w:r>
        <w:rPr>
          <w:highlight w:val="magenta"/>
        </w:rPr>
        <w:t xml:space="preserve">Martha Nell </w:t>
      </w:r>
      <w:r>
        <w:rPr>
          <w:highlight w:val="magenta"/>
        </w:rPr>
        <w:lastRenderedPageBreak/>
        <w:t>Smith</w:t>
      </w:r>
      <w:r>
        <w:t xml:space="preserve">, digital humanities scholar and executive editor of the </w:t>
      </w:r>
      <w:r>
        <w:rPr>
          <w:i/>
        </w:rPr>
        <w:t xml:space="preserve">Dickinson Electronic Archives, </w:t>
      </w:r>
      <w:r>
        <w:t>has called the “Human Touch,” where Smith situates issues of identity as central and inextricable from the formation and use of technologies.</w:t>
      </w:r>
      <w:r>
        <w:rPr>
          <w:vertAlign w:val="superscript"/>
        </w:rPr>
        <w:t xml:space="preserve">21 </w:t>
      </w:r>
    </w:p>
    <w:p w14:paraId="181642DC" w14:textId="77777777" w:rsidR="00076776" w:rsidRDefault="00076776">
      <w:pPr>
        <w:rPr>
          <w:b/>
        </w:rPr>
      </w:pPr>
    </w:p>
    <w:p w14:paraId="290FA660" w14:textId="77777777" w:rsidR="00076776" w:rsidRDefault="00000000">
      <w:pPr>
        <w:ind w:left="1440"/>
      </w:pPr>
      <w:r>
        <w:t xml:space="preserve">See Smith, Martha Nell. “The Human Touch Software of the Highest Order: Revisiting Editing as Interpretation.” </w:t>
      </w:r>
      <w:r>
        <w:rPr>
          <w:i/>
        </w:rPr>
        <w:t>Textual Cultures: Texts, Contexts, Interpretation</w:t>
      </w:r>
      <w:r>
        <w:t xml:space="preserve"> 2, no.1 (2007): 1–15.</w:t>
      </w:r>
    </w:p>
    <w:p w14:paraId="586E6A0B" w14:textId="77777777" w:rsidR="00076776" w:rsidRDefault="00076776"/>
    <w:p w14:paraId="1EE7188A" w14:textId="77777777" w:rsidR="00076776" w:rsidRDefault="00000000">
      <w:r>
        <w:t>8 @Mothelode@Decol@IndTech@DHmeth@EG@Hegem@Ethics@Acad</w:t>
      </w:r>
    </w:p>
    <w:p w14:paraId="22A5393B" w14:textId="77777777" w:rsidR="00076776" w:rsidRDefault="00000000">
      <w:pPr>
        <w:ind w:left="720"/>
      </w:pPr>
      <w:r>
        <w:t xml:space="preserve">We digital scholars must always situate ourselves in relationship to our institutional pasts if we want to ethically work with groups who have every reason to be suspicious of our institutions. [10] To develop collaborative partnerships with historically marginalized communities, we must, once again, recognize that the individual, in this case the academic, is situated within the context in which he or she works. </w:t>
      </w:r>
      <w:r>
        <w:rPr>
          <w:b/>
        </w:rPr>
        <w:t xml:space="preserve">The structures of academia are built on exploitation of </w:t>
      </w:r>
      <w:proofErr w:type="gramStart"/>
      <w:r>
        <w:rPr>
          <w:b/>
        </w:rPr>
        <w:t>particular groups</w:t>
      </w:r>
      <w:proofErr w:type="gramEnd"/>
      <w:r>
        <w:t xml:space="preserve">, whether exploitation through </w:t>
      </w:r>
      <w:r>
        <w:rPr>
          <w:b/>
        </w:rPr>
        <w:t>land seizure from indigenous peoples</w:t>
      </w:r>
      <w:r>
        <w:t xml:space="preserve"> or enslaved labor, as is the documented case with numerous universities.</w:t>
      </w:r>
    </w:p>
    <w:p w14:paraId="379150C5" w14:textId="77777777" w:rsidR="00076776" w:rsidRDefault="00076776"/>
    <w:p w14:paraId="5CD46237" w14:textId="77777777" w:rsidR="00076776" w:rsidRDefault="00000000">
      <w:r>
        <w:t>15 @Mothelode/@Contracolonial/@Indigitization/@DHmeth/@EG/@Hegem/@Ethics @Knote</w:t>
      </w:r>
    </w:p>
    <w:p w14:paraId="5AC8D137" w14:textId="77777777" w:rsidR="00076776" w:rsidRDefault="00000000">
      <w:r>
        <w:t xml:space="preserve">Earhart offers some suggestions that could serve well as guiding principles: </w:t>
      </w:r>
    </w:p>
    <w:p w14:paraId="650F00C5" w14:textId="77777777" w:rsidR="00076776" w:rsidRDefault="00000000">
      <w:pPr>
        <w:ind w:left="720"/>
      </w:pPr>
      <w:r>
        <w:rPr>
          <w:b/>
        </w:rPr>
        <w:t>To build a partnership with community groups is a slow process.</w:t>
      </w:r>
      <w:r>
        <w:t xml:space="preserve"> Trust needs to be built through continual meetings and discussions, with frank admission about the context in which the partnership will occur. […] Crucial to developing trust is to give the community group full veto power on the way that information is used (14). […] While we might exist in institutions that stress academic freedom, researchers must be aware of how university rules might impact our ability to develop such partnerships.</w:t>
      </w:r>
    </w:p>
    <w:p w14:paraId="0B9D84F3" w14:textId="77777777" w:rsidR="00076776" w:rsidRDefault="00076776"/>
    <w:p w14:paraId="350209A9" w14:textId="77777777" w:rsidR="00076776" w:rsidRDefault="00000000">
      <w:r>
        <w:t xml:space="preserve">18 @Mothelode@Decol@IndTech@DHmeth@EG@Hegem@Ethics </w:t>
      </w:r>
    </w:p>
    <w:p w14:paraId="2A3978C1" w14:textId="77777777" w:rsidR="00076776" w:rsidRDefault="00000000">
      <w:r>
        <w:t xml:space="preserve">Another good point that connects the concept of “data” with actual people, which I think of as crucial: these are stories, in the </w:t>
      </w:r>
      <w:r>
        <w:rPr>
          <w:i/>
        </w:rPr>
        <w:t>Despatches</w:t>
      </w:r>
      <w:r>
        <w:t xml:space="preserve">, about people that lived and died. </w:t>
      </w:r>
    </w:p>
    <w:p w14:paraId="79DA4E37" w14:textId="77777777" w:rsidR="00076776" w:rsidRDefault="00000000">
      <w:pPr>
        <w:ind w:left="720"/>
        <w:rPr>
          <w:b/>
          <w:highlight w:val="green"/>
        </w:rPr>
      </w:pPr>
      <w:r>
        <w:rPr>
          <w:b/>
          <w:highlight w:val="green"/>
        </w:rPr>
        <w:t xml:space="preserve">As digital humanities </w:t>
      </w:r>
      <w:proofErr w:type="gramStart"/>
      <w:r>
        <w:rPr>
          <w:b/>
          <w:highlight w:val="green"/>
        </w:rPr>
        <w:t>engages</w:t>
      </w:r>
      <w:proofErr w:type="gramEnd"/>
      <w:r>
        <w:rPr>
          <w:b/>
          <w:highlight w:val="green"/>
        </w:rPr>
        <w:t xml:space="preserve"> with large corpora projects, we cannot forget the individual, for a data point is not neutral. A data point is, instead, representative of an individual, a culture, a knowledge system—and to treat data as exempt from the structures in which they are situated is to erase individuals. To “exploit” data is to exploit individuals.</w:t>
      </w:r>
    </w:p>
    <w:p w14:paraId="46F78679" w14:textId="77777777" w:rsidR="00076776" w:rsidRDefault="00076776"/>
    <w:p w14:paraId="20EE986A" w14:textId="77777777" w:rsidR="00076776" w:rsidRDefault="00000000">
      <w:pPr>
        <w:pStyle w:val="Heading2"/>
      </w:pPr>
      <w:r>
        <w:t>Secondary quotes</w:t>
      </w:r>
    </w:p>
    <w:p w14:paraId="7C59E6C8" w14:textId="77777777" w:rsidR="00076776" w:rsidRDefault="00000000">
      <w:r>
        <w:t>2 @DH/@SJ. What has received less attention as a practice in digital humanities is how we understand our work in relationship to ownership or to knowledge practices in the service of social justice. / 4 Academics working on projects must be willing to cede control from the individual and the academic institution and position the project within a community or activist site. // What I am suggesting is that every project must attend to the specificity of the cultural context in which the project is being produced. / 5 @</w:t>
      </w:r>
      <w:proofErr w:type="gramStart"/>
      <w:r>
        <w:t>Link:</w:t>
      </w:r>
      <w:r>
        <w:rPr>
          <w:highlight w:val="magenta"/>
        </w:rPr>
        <w:t>Risam</w:t>
      </w:r>
      <w:proofErr w:type="gramEnd"/>
      <w:r>
        <w:t>/@Fem/@DHmeth. “</w:t>
      </w:r>
      <w:r>
        <w:rPr>
          <w:b/>
        </w:rPr>
        <w:t>Intersectional feminism provides the greatest guidance to ethical approaches to digital humanities</w:t>
      </w:r>
      <w:r>
        <w:t xml:space="preserve"> and has been taken up by digital humanities scholars across a range of disciplines, offering, according to Roopika Risam, “a viable approach to cultural criticism in the digital </w:t>
      </w:r>
      <w:r>
        <w:lastRenderedPageBreak/>
        <w:t xml:space="preserve">humanities.” /  @NTS: other </w:t>
      </w:r>
      <w:proofErr w:type="spellStart"/>
      <w:r>
        <w:t>DHers</w:t>
      </w:r>
      <w:proofErr w:type="spellEnd"/>
      <w:r>
        <w:t xml:space="preserve"> doing the SJ work: Other scholars, including Moya Bailey, Alexis Lothian, Amanda Phillips, Anne Cong-Huyen, F. M. </w:t>
      </w:r>
      <w:proofErr w:type="spellStart"/>
      <w:r>
        <w:t>Ettarh</w:t>
      </w:r>
      <w:proofErr w:type="spellEnd"/>
      <w:r>
        <w:t xml:space="preserve">, and Anna Everett, also view intersectionality as a means to ethically engage in digital humanities work, particularly in their representations of situated standpoints and resistance to essentialist definitions, as theorized by Patricia Hill Collins.[6]” (3). / 10 @EG </w:t>
      </w:r>
    </w:p>
    <w:p w14:paraId="1FF7836A" w14:textId="77777777" w:rsidR="00076776" w:rsidRDefault="00000000">
      <w:r>
        <w:t xml:space="preserve">Why would an African American community group want to work with an individual in an institution that institutionalized the Klan, an organization known for brutal attacks and murders? Why would an African American community group trust that their truth, their knowledge would be told accurately? / 15 @Indigitization@Ethics The </w:t>
      </w:r>
      <w:proofErr w:type="spellStart"/>
      <w:r>
        <w:rPr>
          <w:b/>
        </w:rPr>
        <w:t>Mukurtu</w:t>
      </w:r>
      <w:proofErr w:type="spellEnd"/>
      <w:r>
        <w:rPr>
          <w:b/>
        </w:rPr>
        <w:t xml:space="preserve"> </w:t>
      </w:r>
      <w:proofErr w:type="spellStart"/>
      <w:r>
        <w:rPr>
          <w:b/>
        </w:rPr>
        <w:t>Wumpurrarni</w:t>
      </w:r>
      <w:proofErr w:type="spellEnd"/>
      <w:r>
        <w:rPr>
          <w:b/>
        </w:rPr>
        <w:t>-kari Archive</w:t>
      </w:r>
      <w:r>
        <w:t xml:space="preserve">, built on the platform, </w:t>
      </w:r>
      <w:r>
        <w:rPr>
          <w:b/>
        </w:rPr>
        <w:t>designates differential access based on cultural protocols:</w:t>
      </w:r>
      <w:r>
        <w:t xml:space="preserve"> “When content is uploaded a specific set of criteria must be considered: which families can see the image (a pull down menu allows families to be added); is the content restricted to men only or women only; is the image restricted only to those related to specific countries (a pull down menu allows countries to be checked); is the image sacred and thus restricted to elders only; is anyone in the photo or video deceased; or, finally is this content ‘open’ to everyone (no restrictions to access it)?”[37] One might extend this platform to account for in-community knowledge, such as oral history stories that are not to be shared with the general public because doing so includes identifying names of individuals, and out of community knowledge, perhaps an oral history story that removes names of individual participants. / 19 The development of an </w:t>
      </w:r>
      <w:r>
        <w:rPr>
          <w:b/>
        </w:rPr>
        <w:t>ethics of practice</w:t>
      </w:r>
      <w:r>
        <w:t xml:space="preserve"> should be developed to guide us through data selection and use. Such practices are predicated on community control. Ultimately, the community must maintain control over its knowledge and to ask that we “not look” at data. Through open dialogue and careful attention to technological structures, we might begin to find ways to develop rich and equitable partnerships.</w:t>
      </w:r>
    </w:p>
    <w:p w14:paraId="75793D9D" w14:textId="77777777" w:rsidR="00076776" w:rsidRDefault="00076776"/>
    <w:p w14:paraId="473DB482" w14:textId="77777777" w:rsidR="00076776" w:rsidRDefault="00076776"/>
    <w:p w14:paraId="2542BE76" w14:textId="77777777" w:rsidR="00076776" w:rsidRDefault="00000000">
      <w:pPr>
        <w:pStyle w:val="Heading2"/>
      </w:pPr>
      <w:r>
        <w:t>Notes</w:t>
      </w:r>
    </w:p>
    <w:p w14:paraId="0C91898A" w14:textId="77777777" w:rsidR="00076776" w:rsidRDefault="00000000">
      <w:r>
        <w:t>15 Tech option for future development?</w:t>
      </w:r>
    </w:p>
    <w:p w14:paraId="46563059" w14:textId="77777777" w:rsidR="00076776" w:rsidRDefault="00000000">
      <w:pPr>
        <w:ind w:left="720"/>
      </w:pPr>
      <w:r>
        <w:rPr>
          <w:b/>
        </w:rPr>
        <w:t>Reclaim Hosting</w:t>
      </w:r>
      <w:r>
        <w:t xml:space="preserve">, for example, offers hosting specifically designed for educators who are interested in using a variety of platforms including Omeka, </w:t>
      </w:r>
      <w:proofErr w:type="spellStart"/>
      <w:r>
        <w:t>Mukurtu</w:t>
      </w:r>
      <w:proofErr w:type="spellEnd"/>
      <w:r>
        <w:t>, WordPress, Drupal, and other related products.</w:t>
      </w:r>
    </w:p>
    <w:p w14:paraId="7389AF87" w14:textId="77777777" w:rsidR="00076776" w:rsidRDefault="00076776"/>
    <w:p w14:paraId="041FCF26" w14:textId="77777777" w:rsidR="00076776" w:rsidRDefault="00000000">
      <w:r>
        <w:rPr>
          <w:highlight w:val="green"/>
        </w:rPr>
        <w:t>17 @</w:t>
      </w:r>
      <w:proofErr w:type="gramStart"/>
      <w:r>
        <w:rPr>
          <w:highlight w:val="green"/>
        </w:rPr>
        <w:t>Motherlode!@</w:t>
      </w:r>
      <w:proofErr w:type="gramEnd"/>
      <w:r>
        <w:rPr>
          <w:highlight w:val="green"/>
        </w:rPr>
        <w:t>UL@Diss/@Contracolonial/@Indigitization/@DHmeth/@EG/@Hegem/@Ethics</w:t>
      </w:r>
    </w:p>
    <w:p w14:paraId="535A9715" w14:textId="77777777" w:rsidR="00076776" w:rsidRDefault="00000000">
      <w:r>
        <w:t xml:space="preserve">This could be the best paragraph, yet, to describe my approach to the Despatches changes: </w:t>
      </w:r>
    </w:p>
    <w:p w14:paraId="5562D5E5" w14:textId="77777777" w:rsidR="00076776" w:rsidRDefault="00076776"/>
    <w:p w14:paraId="4BB4A727" w14:textId="77777777" w:rsidR="00076776" w:rsidRDefault="00000000">
      <w:pPr>
        <w:ind w:left="360"/>
      </w:pPr>
      <w:r>
        <w:rPr>
          <w:b/>
        </w:rPr>
        <w:t>When we think about digital humanities projects, we need to recognize that there is more than a set of technological specifications that represent best practices</w:t>
      </w:r>
      <w:r>
        <w:t xml:space="preserve">. For example, the University of Nebraska has released “Best Practices for Digital Humanities Projects,” a document focused on technical issues related to interoperability and preservation including the use of XML, EAC, METS and other such standards. The problem with such a narrow focus, however, is that such metadata standards may run counter to certain marginalized communities’ understanding of preservation or knowledge. </w:t>
      </w:r>
      <w:r>
        <w:rPr>
          <w:b/>
        </w:rPr>
        <w:t>For digital humanists, best practices might be better understood as ethical guidelines of practice.</w:t>
      </w:r>
    </w:p>
    <w:p w14:paraId="6C7D71C2" w14:textId="77777777" w:rsidR="00076776" w:rsidRDefault="00076776"/>
    <w:p w14:paraId="23822394" w14:textId="77777777" w:rsidR="00076776" w:rsidRDefault="00000000">
      <w:r>
        <w:lastRenderedPageBreak/>
        <w:t xml:space="preserve">I totally agree with this approach, and would go further, to suggest that </w:t>
      </w:r>
      <w:r>
        <w:rPr>
          <w:b/>
        </w:rPr>
        <w:t>a different model of PhD be proposed within Humanities departments</w:t>
      </w:r>
      <w:r>
        <w:t xml:space="preserve">, one that is not predicated on publishing or teaching, but on community engagement, and the number of doors opened to allow marginalized communities to engage in changing scholarship: </w:t>
      </w:r>
    </w:p>
    <w:p w14:paraId="529BA13B" w14:textId="77777777" w:rsidR="00076776" w:rsidRDefault="00076776"/>
    <w:p w14:paraId="378544AD" w14:textId="77777777" w:rsidR="00076776" w:rsidRDefault="00000000">
      <w:pPr>
        <w:ind w:left="720"/>
      </w:pPr>
      <w:r>
        <w:t xml:space="preserve">7: In our current publish-or-perish, highly competitive academic environment, we are driven to seize credit, ownership, of projects to survive. However, this narrative also contributes to exploitation and abuses of the communities that are connected to the materials we would like to digitize. We need to develop a model of collaboration that positions the academic as an equal, even lesser, partner in the relationship, which is the only model that will begin to balance inequity. </w:t>
      </w:r>
    </w:p>
    <w:p w14:paraId="0EA87E70" w14:textId="77777777" w:rsidR="00076776" w:rsidRDefault="00076776"/>
    <w:p w14:paraId="71073D24" w14:textId="77777777" w:rsidR="00076776" w:rsidRDefault="00000000">
      <w:r>
        <w:t xml:space="preserve">In other words, how much grant money did you secure </w:t>
      </w:r>
      <w:r>
        <w:rPr>
          <w:i/>
        </w:rPr>
        <w:t>for</w:t>
      </w:r>
      <w:r>
        <w:t xml:space="preserve"> a community, not from it? Did you train someone from that community to lead the work? Can you demonstrate that the barriers to the academic castle are crumbling? We need to discuss a whole new approach to the metrics of “academic success,” one that redefines it not in a capitalist, academic model, where published papers = cash value, but in terms of community access. To borrow from Earhart: </w:t>
      </w:r>
    </w:p>
    <w:p w14:paraId="3DC17F98" w14:textId="77777777" w:rsidR="00076776" w:rsidRDefault="00076776"/>
    <w:p w14:paraId="4348CB40" w14:textId="77777777" w:rsidR="00076776" w:rsidRDefault="00000000">
      <w:pPr>
        <w:ind w:left="720"/>
      </w:pPr>
      <w:r>
        <w:t xml:space="preserve">7: Mark Sample’s </w:t>
      </w:r>
      <w:r>
        <w:rPr>
          <w:b/>
        </w:rPr>
        <w:t>collaborative construction centers</w:t>
      </w:r>
      <w:r>
        <w:t xml:space="preserve"> a community-driven feminist approach that practices what she calls </w:t>
      </w:r>
      <w:r>
        <w:rPr>
          <w:b/>
        </w:rPr>
        <w:t>digital alchemy</w:t>
      </w:r>
      <w:r>
        <w:t>” (7).</w:t>
      </w:r>
    </w:p>
    <w:p w14:paraId="5AAA38B4" w14:textId="77777777" w:rsidR="00076776" w:rsidRDefault="00076776"/>
    <w:p w14:paraId="4F4E4527" w14:textId="77777777" w:rsidR="00076776" w:rsidRDefault="00000000">
      <w:r>
        <w:t xml:space="preserve">Earhart, through Bailey, on this point, again: </w:t>
      </w:r>
    </w:p>
    <w:p w14:paraId="08BFDB5D" w14:textId="77777777" w:rsidR="00076776" w:rsidRDefault="00076776"/>
    <w:p w14:paraId="434F2B5E" w14:textId="77777777" w:rsidR="00076776" w:rsidRDefault="00000000">
      <w:pPr>
        <w:ind w:left="720"/>
      </w:pPr>
      <w:r>
        <w:t xml:space="preserve">7: Bailey argues that ongoing collaborative consent places authority and control in the hands of the knowledge producer rather than the scholar. To best achieve this, we must be clear about our specific position. For all the concerns regarding the diminishing position of the academy and academics, we remain in a very privileged and powerful position. We must remember this when we interact with historically marginalized communities, which have been stripped of control of their own materials over centuries, sometimes by the very institutions that are our employers. </w:t>
      </w:r>
    </w:p>
    <w:p w14:paraId="4F3F91E9" w14:textId="77777777" w:rsidR="00076776" w:rsidRDefault="00076776"/>
    <w:p w14:paraId="54CD6C8A" w14:textId="77777777" w:rsidR="00076776" w:rsidRDefault="00000000">
      <w:r>
        <w:t xml:space="preserve">@NTS. Might want to look this up: “The 2010 workshop “Off the Tracks: Laying New Lines for Digital Humanities Scholars” produced the “Collaborator’s Bill of Rights,” which made important steps toward defining ethical practices as about alternative academic (alt-ac) individuals involved in projects.[25]” (7). </w:t>
      </w:r>
    </w:p>
    <w:p w14:paraId="67C9BC41" w14:textId="77777777" w:rsidR="00076776" w:rsidRDefault="00076776"/>
    <w:p w14:paraId="4147E673" w14:textId="77777777" w:rsidR="00076776" w:rsidRDefault="00000000">
      <w:r>
        <w:t>As above: Timothy B. Powell and Larry P. Aitken model authorship attribution that is community oriented and recenters cultural ownership in their article “Encoding Culture: Building a Digital Archive Based on Traditional Ojibwe Teachings</w:t>
      </w:r>
      <w:proofErr w:type="gramStart"/>
      <w:r>
        <w:t>.”[</w:t>
      </w:r>
      <w:proofErr w:type="gramEnd"/>
      <w:r>
        <w:t xml:space="preserve">29]” (7). </w:t>
      </w:r>
    </w:p>
    <w:p w14:paraId="7E60A5A3" w14:textId="77777777" w:rsidR="00076776" w:rsidRDefault="00076776"/>
    <w:p w14:paraId="5CBF5294" w14:textId="77777777" w:rsidR="00076776" w:rsidRDefault="00000000">
      <w:r>
        <w:t xml:space="preserve">As above: Reclaim Hosting, for example, offers hosting specifically designed for educators who are interested in using a variety of platforms including Omeka, </w:t>
      </w:r>
      <w:proofErr w:type="spellStart"/>
      <w:r>
        <w:rPr>
          <w:b/>
        </w:rPr>
        <w:t>Mukurtu</w:t>
      </w:r>
      <w:proofErr w:type="spellEnd"/>
      <w:r>
        <w:t xml:space="preserve">, WordPress, Drupal, and other related products” (15). </w:t>
      </w:r>
    </w:p>
    <w:p w14:paraId="32CFD50D" w14:textId="77777777" w:rsidR="00076776" w:rsidRDefault="00076776"/>
    <w:p w14:paraId="6A2D3307" w14:textId="77777777" w:rsidR="00076776" w:rsidRDefault="00000000">
      <w:r>
        <w:lastRenderedPageBreak/>
        <w:t xml:space="preserve">See “The Traditional Knowledge (TK) Labels (http://www.localcontexts.org) were designed to ensure protection of vulnerable populations, though it might be extended to other groups to ensure control of knowledge?” (16). </w:t>
      </w:r>
    </w:p>
    <w:p w14:paraId="630B958B" w14:textId="77777777" w:rsidR="00076776" w:rsidRDefault="00000000">
      <w:pPr>
        <w:pStyle w:val="Heading1"/>
      </w:pPr>
      <w:bookmarkStart w:id="22" w:name="_heading=h.4i7ojhp" w:colFirst="0" w:colLast="0"/>
      <w:bookmarkEnd w:id="22"/>
      <w:r>
        <w:t xml:space="preserve">(2018) Huang &amp; Weaver-Hightower, </w:t>
      </w:r>
      <w:r>
        <w:rPr>
          <w:i/>
        </w:rPr>
        <w:t>Archiving Settler Colonialism: Culture, Race and Space</w:t>
      </w:r>
    </w:p>
    <w:p w14:paraId="4E74D4F4" w14:textId="77777777" w:rsidR="00076776" w:rsidRDefault="00000000">
      <w:r>
        <w:t xml:space="preserve">Note that this anthology was not available as a free </w:t>
      </w:r>
      <w:proofErr w:type="spellStart"/>
      <w:r>
        <w:t>ebook</w:t>
      </w:r>
      <w:proofErr w:type="spellEnd"/>
      <w:r>
        <w:t xml:space="preserve"> or PDF. The paper copy was over 150 USD, and I was not willing to shell out 40 USD for the </w:t>
      </w:r>
      <w:proofErr w:type="spellStart"/>
      <w:r>
        <w:t>epub</w:t>
      </w:r>
      <w:proofErr w:type="spellEnd"/>
      <w:r>
        <w:t xml:space="preserve">. Taylor Francis offered the intro for free, which was all I really needed, anyway. </w:t>
      </w:r>
    </w:p>
    <w:p w14:paraId="731A7E36" w14:textId="77777777" w:rsidR="00076776" w:rsidRDefault="00000000">
      <w:pPr>
        <w:pStyle w:val="Heading2"/>
      </w:pPr>
      <w:r>
        <w:t>Introduction: “Settler Colonialism and Its Cultural Archives—Ways of Reading”</w:t>
      </w:r>
    </w:p>
    <w:p w14:paraId="5A68DB32" w14:textId="77777777" w:rsidR="00076776" w:rsidRDefault="00076776"/>
    <w:p w14:paraId="03ADF77E" w14:textId="77777777" w:rsidR="00076776" w:rsidRDefault="00000000">
      <w:pPr>
        <w:pStyle w:val="Heading3"/>
      </w:pPr>
      <w:r>
        <w:t>Abstract</w:t>
      </w:r>
    </w:p>
    <w:p w14:paraId="43FC4695" w14:textId="77777777" w:rsidR="00076776" w:rsidRDefault="00000000">
      <w:r>
        <w:t xml:space="preserve">Anthology (15 essays) on the intersections of settler-studies and archives based on atypical “cultural texts” (1). </w:t>
      </w:r>
    </w:p>
    <w:p w14:paraId="402CA99B" w14:textId="77777777" w:rsidR="00076776" w:rsidRDefault="00076776"/>
    <w:p w14:paraId="0C73733B" w14:textId="77777777" w:rsidR="00076776" w:rsidRDefault="00000000">
      <w:pPr>
        <w:pStyle w:val="Heading3"/>
      </w:pPr>
      <w:r>
        <w:t>Key words</w:t>
      </w:r>
    </w:p>
    <w:p w14:paraId="441862B1" w14:textId="77777777" w:rsidR="00076776" w:rsidRDefault="00000000">
      <w:r>
        <w:t xml:space="preserve">archives, decolonization, cultural texts, settler-colonial studies, colonialism, methodologies  </w:t>
      </w:r>
    </w:p>
    <w:p w14:paraId="768F0C58" w14:textId="77777777" w:rsidR="00076776" w:rsidRDefault="00076776"/>
    <w:p w14:paraId="68D98952" w14:textId="77777777" w:rsidR="00076776" w:rsidRDefault="00000000">
      <w:pPr>
        <w:pStyle w:val="Heading3"/>
      </w:pPr>
      <w:r>
        <w:t>Essential quote</w:t>
      </w:r>
    </w:p>
    <w:p w14:paraId="7C760AA4" w14:textId="77777777" w:rsidR="00076776" w:rsidRDefault="00000000">
      <w:r>
        <w:t>2: As Lorenzo Veracini reminds us in his afterword, “archives are by definition settled places,” so “thinking about archives and their constitution and operation is also a reflection on settler colonialism as a specific mode of domination” (see p. 269).</w:t>
      </w:r>
    </w:p>
    <w:p w14:paraId="57833F72" w14:textId="77777777" w:rsidR="00076776" w:rsidRDefault="00076776"/>
    <w:p w14:paraId="6125DAA5" w14:textId="77777777" w:rsidR="00076776" w:rsidRDefault="00000000">
      <w:pPr>
        <w:pStyle w:val="Heading3"/>
      </w:pPr>
      <w:r>
        <w:t>Terms</w:t>
      </w:r>
    </w:p>
    <w:p w14:paraId="0441CACE" w14:textId="77777777" w:rsidR="00076776" w:rsidRDefault="00000000">
      <w:r>
        <w:t xml:space="preserve">1: </w:t>
      </w:r>
      <w:r>
        <w:rPr>
          <w:b/>
        </w:rPr>
        <w:t>cultural texts</w:t>
      </w:r>
      <w:r>
        <w:t xml:space="preserve">: In response, this collection advances this methodological shift </w:t>
      </w:r>
      <w:proofErr w:type="gramStart"/>
      <w:r>
        <w:t>in order to</w:t>
      </w:r>
      <w:proofErr w:type="gramEnd"/>
      <w:r>
        <w:t xml:space="preserve"> center cultural texts as a main venue of settler-colonial studies. To that end, we have invited contributors who work on hitherto underexamined materials—including postage stamps, musical scores, urban parks, and psychiatric records—to reflect on how these cultural texts record or archive moments of settler self-fashioning. [5[ As stated above, this collection puts its focus on cultural texts as the material for settler-colonial research. Here we adopt an </w:t>
      </w:r>
      <w:r>
        <w:rPr>
          <w:b/>
        </w:rPr>
        <w:t>understanding of culture that harkens back to the objects of cultural studies: the “experience lived, experience interpreted, experience defined,” as articulated by Stuart Hall (33).</w:t>
      </w:r>
      <w:r>
        <w:t xml:space="preserve"> Each of our contributors looks at cultural artifacts as deeply ingrained in social practices and institutions. Many emphasize how these </w:t>
      </w:r>
      <w:r>
        <w:rPr>
          <w:b/>
        </w:rPr>
        <w:t>cultural artifacts</w:t>
      </w:r>
      <w:r>
        <w:t>, as made objects, carry with them the material history of production and bring into view settler processes of self-fashioning or dissolution.</w:t>
      </w:r>
    </w:p>
    <w:p w14:paraId="6B0DF2A9" w14:textId="77777777" w:rsidR="00076776" w:rsidRDefault="00000000">
      <w:r>
        <w:t xml:space="preserve">2: </w:t>
      </w:r>
      <w:r>
        <w:rPr>
          <w:b/>
        </w:rPr>
        <w:t>archive</w:t>
      </w:r>
      <w:r>
        <w:t xml:space="preserve">: “archives,” namely the cultural materials they may encounter from settler-colonial pasts and presents. The buildings, music, literary works, memoirs, stamps, or language systems may not have been archived in a physical location, but they nevertheless serve as archival materials for this volume’s contributors as they parse colonial values, settler lives, and decolonizing potentials. As Lorenzo Veracini reminds us in his afterword, “archives are by </w:t>
      </w:r>
      <w:r>
        <w:lastRenderedPageBreak/>
        <w:t>definition settled places,” so “thinking about archives and their constitution and operation is also a reflection on settler colonialism as a specific mode of domination” (see p. 269).</w:t>
      </w:r>
    </w:p>
    <w:p w14:paraId="11233595" w14:textId="77777777" w:rsidR="00076776" w:rsidRDefault="00000000">
      <w:r>
        <w:t xml:space="preserve">3: </w:t>
      </w:r>
      <w:r>
        <w:rPr>
          <w:b/>
        </w:rPr>
        <w:t>settler-colonial studies</w:t>
      </w:r>
      <w:r>
        <w:t xml:space="preserve">: … transformed from a subdivision of postcolonial studies on the British Commonwealth into a global inquiry of settler–Indigenous conflicts, encompassing a range of historical, political, legal, social, and cultural investigations both on the past and of the present. … settler-colonial studies </w:t>
      </w:r>
      <w:proofErr w:type="gramStart"/>
      <w:r>
        <w:t>has</w:t>
      </w:r>
      <w:proofErr w:type="gramEnd"/>
      <w:r>
        <w:t xml:space="preserve"> also demonstrated how settlement is maintained precariously through the persistent replaying of settler myths throughout history and into contemporary times. … Some also caution that settler-colonial analytics must take account of locally specific relations between settler colonialism and other forms of oppression—anti-blackness, sexism, ableism, and any number of other oppressive regimes—whose configurations may vary from one settler society to another (</w:t>
      </w:r>
      <w:proofErr w:type="spellStart"/>
      <w:r>
        <w:t>Vimalassery</w:t>
      </w:r>
      <w:proofErr w:type="spellEnd"/>
      <w:r>
        <w:t xml:space="preserve"> et al. </w:t>
      </w:r>
      <w:proofErr w:type="spellStart"/>
      <w:r>
        <w:t>n.p.</w:t>
      </w:r>
      <w:proofErr w:type="spellEnd"/>
      <w:r>
        <w:t xml:space="preserve">; see also Mullins in this volume). [5] … </w:t>
      </w:r>
      <w:r>
        <w:rPr>
          <w:b/>
        </w:rPr>
        <w:t>settler- colonial analytics</w:t>
      </w:r>
      <w:r>
        <w:t xml:space="preserve">. As Alissa Macoun and Elizabeth Strakosch caution in their assessment of settler-colonial studies in the Australian context, settler colonialism’s critical parlance should not be employed to evaluate Indigenous lives and political articulations. Instead, Macoun and Strakosch usefully contend that settler-colonial theories are “most usefully understood as providing non-Indigenous people in settler states with a better account of ourselves—rather than as an account of the entire settler–Indigenous relationship” (438). [see Notes, below for K?]  </w:t>
      </w:r>
    </w:p>
    <w:p w14:paraId="0ECB5618" w14:textId="77777777" w:rsidR="00076776" w:rsidRDefault="00000000">
      <w:r>
        <w:t xml:space="preserve">3: [@DECOL] </w:t>
      </w:r>
      <w:r>
        <w:rPr>
          <w:b/>
        </w:rPr>
        <w:t>settler colonialism</w:t>
      </w:r>
      <w:r>
        <w:t xml:space="preserve">: … denotes a distinct governing structure in which settler-invaders colonize by replacing Indigenous peoples on Indigenous lands. As we have learned from scholars such as Patrick Wolfe, Lorenzo Veracini, and others, rather than ruling over the natives in a political hierarchy, settlers seek to eliminate Indigenous peoples’ majority, to produce Indigenous land as possessable by (officially or unofficially) declaring it terra nullius, and to position themselves as the authentic and future “indigenes” of the new world. [4] </w:t>
      </w:r>
      <w:r>
        <w:rPr>
          <w:highlight w:val="magenta"/>
        </w:rPr>
        <w:t>Joanne Barker</w:t>
      </w:r>
      <w:r>
        <w:t xml:space="preserve">’s suggestion that settler colonialism should be understood as a “contested and unstable concept,” that “society is not an objectively settled structure to be described, nor an imaginary that travels as an integral whole around the world. It is a set of contested meanings caught up in struggles over power and knowledge” (“Analytic”). [8] … settler colonialism is not solely a Europe-originated enterprise. [10] … settler colonialism as a </w:t>
      </w:r>
      <w:r>
        <w:rPr>
          <w:b/>
        </w:rPr>
        <w:t>temporal process</w:t>
      </w:r>
      <w:r>
        <w:t xml:space="preserve">, where settler </w:t>
      </w:r>
      <w:r>
        <w:rPr>
          <w:b/>
        </w:rPr>
        <w:t>space-making</w:t>
      </w:r>
      <w:r>
        <w:t xml:space="preserve"> happened unevenly and never completely, and where Indigenous decolonization may yet rearrange the world as we know it.</w:t>
      </w:r>
    </w:p>
    <w:p w14:paraId="29B29CB4" w14:textId="77777777" w:rsidR="00076776" w:rsidRDefault="00000000">
      <w:pPr>
        <w:ind w:left="720"/>
      </w:pPr>
      <w:r>
        <w:t xml:space="preserve">[8] </w:t>
      </w:r>
      <w:r>
        <w:rPr>
          <w:b/>
        </w:rPr>
        <w:t>settler colony</w:t>
      </w:r>
      <w:r>
        <w:t>: … to include Israeli settlements in the West Bank, historical episodes in French Algeria, German colonies in Africa and South America, Japanese incorporation of Hokkaido and Okinawa, or Chinese expansion in Central Asia and the South China Sea.</w:t>
      </w:r>
      <w:r>
        <w:rPr>
          <w:vertAlign w:val="superscript"/>
        </w:rPr>
        <w:t>1</w:t>
      </w:r>
    </w:p>
    <w:p w14:paraId="443271E4" w14:textId="77777777" w:rsidR="00076776" w:rsidRDefault="00000000">
      <w:r>
        <w:t xml:space="preserve">5: </w:t>
      </w:r>
      <w:r>
        <w:rPr>
          <w:b/>
        </w:rPr>
        <w:t>Indigenous survivance</w:t>
      </w:r>
      <w:r>
        <w:t>: … productively challenges the assumption of settler perpetuity.</w:t>
      </w:r>
    </w:p>
    <w:p w14:paraId="5E482320" w14:textId="77777777" w:rsidR="00076776" w:rsidRDefault="00000000">
      <w:r>
        <w:t xml:space="preserve">6: </w:t>
      </w:r>
      <w:r>
        <w:rPr>
          <w:b/>
        </w:rPr>
        <w:t>settler culture</w:t>
      </w:r>
      <w:r>
        <w:t>: … does not simply refer to the cultural manifestations of colonial knowledge-power, but also the complex sets of concerns that are at once personal, racial, popular, transnational, and international.</w:t>
      </w:r>
    </w:p>
    <w:p w14:paraId="107860AA" w14:textId="77777777" w:rsidR="00076776" w:rsidRDefault="00000000">
      <w:r>
        <w:t xml:space="preserve">6: </w:t>
      </w:r>
      <w:r>
        <w:rPr>
          <w:b/>
        </w:rPr>
        <w:t>Cultural texts</w:t>
      </w:r>
      <w:r>
        <w:t xml:space="preserve">: embody the quotidian performance of settler desires and indigenous articulations in the daily lives of settler societies. </w:t>
      </w:r>
    </w:p>
    <w:p w14:paraId="75210BA8" w14:textId="77777777" w:rsidR="00076776" w:rsidRDefault="00000000">
      <w:r>
        <w:t xml:space="preserve">6: </w:t>
      </w:r>
      <w:r>
        <w:rPr>
          <w:b/>
        </w:rPr>
        <w:t>cultural studies</w:t>
      </w:r>
      <w:r>
        <w:t>: [@Link:</w:t>
      </w:r>
      <w:r>
        <w:rPr>
          <w:highlight w:val="magenta"/>
        </w:rPr>
        <w:t>Byrd</w:t>
      </w:r>
      <w:r>
        <w:t>@Hegem] According to Byrd, the modes of cultural studies—the survey of culture for operations of hegemonic order—can help us “analyze the ways in which most pop cultural, political and academic discourses operate from an assumption that formal colonialism is over,” exerting ongoing epistemic violence particularly toward the Indigenous peoples (“In the City” 25).</w:t>
      </w:r>
    </w:p>
    <w:p w14:paraId="0FC92B30" w14:textId="77777777" w:rsidR="00076776" w:rsidRDefault="00000000">
      <w:r>
        <w:lastRenderedPageBreak/>
        <w:t xml:space="preserve">7: </w:t>
      </w:r>
      <w:r>
        <w:rPr>
          <w:b/>
        </w:rPr>
        <w:t>settler narrative</w:t>
      </w:r>
      <w:r>
        <w:t>: [@Narr@SettPsych] Among them, the settler narrative is produced differently because the means of signification differ: settler sovereignty establishes itself differently through postal stamps and folk ballads, just as decolonization works differently when enacted through a community building and a creolized language.</w:t>
      </w:r>
    </w:p>
    <w:p w14:paraId="338A8D5B" w14:textId="77777777" w:rsidR="00076776" w:rsidRDefault="00000000">
      <w:r>
        <w:rPr>
          <w:highlight w:val="green"/>
        </w:rPr>
        <w:t xml:space="preserve">8-9: </w:t>
      </w:r>
      <w:r>
        <w:rPr>
          <w:b/>
          <w:highlight w:val="green"/>
        </w:rPr>
        <w:t>settler space-making</w:t>
      </w:r>
      <w:r>
        <w:rPr>
          <w:highlight w:val="green"/>
        </w:rPr>
        <w:t>: [@WIAM@IKSG@OralEx]</w:t>
      </w:r>
      <w:r>
        <w:t xml:space="preserve"> While settler space-making is frequently discussed in terms of the nation- state or the settler frontier, the chapters in this volume aspire to describe [9] settler space in other terms and at other scales. </w:t>
      </w:r>
      <w:proofErr w:type="gramStart"/>
      <w:r>
        <w:t>As a whole, the</w:t>
      </w:r>
      <w:proofErr w:type="gramEnd"/>
      <w:r>
        <w:t xml:space="preserve"> collection proposes to see settler colonialism as a transnational phenomenon, both in the sense that settlers </w:t>
      </w:r>
      <w:proofErr w:type="gramStart"/>
      <w:r>
        <w:t>by definition traverse</w:t>
      </w:r>
      <w:proofErr w:type="gramEnd"/>
      <w:r>
        <w:t xml:space="preserve"> supposed national borders and in the sense that settler colonialism is a governing structure that occurs in different places around the world. Reading cultural artifacts in place ultimately allows us to see settler-colonial projects as layered assemblages. No matter the scale, settler spaces are never [10] singular but contain multiple temporalities, narratives, spatial imaginations, and epistemological assumptions, whose assemblages change over time. Of course, in rethinking settler spaces as layered contestations, we are reminded again and again of the foundational fact of Indigenous ownership and stewardship of the spaces under examination—both the literal space of geography and location and the theoretical space of the field of settler-colonial studies itself—which must always constitute the first cause of our inquiry.</w:t>
      </w:r>
    </w:p>
    <w:p w14:paraId="655DA962" w14:textId="77777777" w:rsidR="00076776" w:rsidRDefault="00000000">
      <w:r>
        <w:t xml:space="preserve">11: </w:t>
      </w:r>
      <w:r>
        <w:rPr>
          <w:b/>
        </w:rPr>
        <w:t>“subordinate” settlers</w:t>
      </w:r>
      <w:r>
        <w:t>: The second section turns to settlers themselves, focusing on atypical “subordinate” settlers and the archive of their experiences, where race relations are often more complex than we conventionally understand. These essays read these subordinate settlers’ textual outputs and inquire how their subordinate statuses complicate the expressions of settler ideologies. These essays challenge the “logic of elimination” assumed by settler-colonial studies, together asking the field to rethink what being a settler is.</w:t>
      </w:r>
    </w:p>
    <w:p w14:paraId="5537FFD3" w14:textId="77777777" w:rsidR="00076776" w:rsidRDefault="00000000">
      <w:r>
        <w:t xml:space="preserve">13: </w:t>
      </w:r>
      <w:r>
        <w:rPr>
          <w:b/>
          <w:highlight w:val="green"/>
        </w:rPr>
        <w:t>settler psyche</w:t>
      </w:r>
      <w:r>
        <w:t xml:space="preserve">: [@KTerm@SettPsych] These essays and their exploration of the texts produced for and by the settler psyche </w:t>
      </w:r>
      <w:proofErr w:type="gramStart"/>
      <w:r>
        <w:t>open up</w:t>
      </w:r>
      <w:proofErr w:type="gramEnd"/>
      <w:r>
        <w:t xml:space="preserve"> new avenues of research for settler-colonial studies.</w:t>
      </w:r>
    </w:p>
    <w:p w14:paraId="605E18B8" w14:textId="77777777" w:rsidR="00076776" w:rsidRDefault="00076776"/>
    <w:p w14:paraId="14E7273C" w14:textId="77777777" w:rsidR="00076776" w:rsidRDefault="00000000">
      <w:pPr>
        <w:pStyle w:val="Heading3"/>
      </w:pPr>
      <w:r>
        <w:t>Core quotes</w:t>
      </w:r>
    </w:p>
    <w:p w14:paraId="02D8DADA" w14:textId="77777777" w:rsidR="00076776" w:rsidRDefault="00000000">
      <w:r>
        <w:t>2 @Contracolonial@Archive@</w:t>
      </w:r>
      <w:proofErr w:type="gramStart"/>
      <w:r>
        <w:t>L?@</w:t>
      </w:r>
      <w:proofErr w:type="gramEnd"/>
      <w:r>
        <w:t>FFessay@Diss</w:t>
      </w:r>
    </w:p>
    <w:p w14:paraId="54509D8F" w14:textId="77777777" w:rsidR="00076776" w:rsidRDefault="00000000">
      <w:pPr>
        <w:ind w:left="720"/>
      </w:pPr>
      <w:r>
        <w:t>As Lorenzo Veracini reminds us in his afterword, “archives are by definition settled places,” so “thinking about archives and their constitution and operation is also a reflection on settler colonialism as a specific mode of domination” (see p. 269).</w:t>
      </w:r>
    </w:p>
    <w:p w14:paraId="33B951EA" w14:textId="77777777" w:rsidR="00076776" w:rsidRDefault="00076776"/>
    <w:p w14:paraId="67885C1E" w14:textId="77777777" w:rsidR="00076776" w:rsidRDefault="00000000">
      <w:r>
        <w:t>6 @SettPsych@</w:t>
      </w:r>
      <w:proofErr w:type="gramStart"/>
      <w:r>
        <w:t>L?@</w:t>
      </w:r>
      <w:proofErr w:type="gramEnd"/>
      <w:r>
        <w:t>SpacePlace@SettState@FFessay</w:t>
      </w:r>
    </w:p>
    <w:p w14:paraId="7542CA21" w14:textId="77777777" w:rsidR="00076776" w:rsidRDefault="00000000">
      <w:pPr>
        <w:ind w:left="720"/>
      </w:pPr>
      <w:r>
        <w:t>As all chapters in this volume foreground, while settler colonialism desires completion and comfortable “settled-ness,” it is always imagined amidst anxiety, guilt, self-doubt, and the immanent possibility of moral or actual collapse; and the dream of the closed frontier is constantly invalidated by enduring Indigenous relations to land across the globe that settlers cannot share or usurp.</w:t>
      </w:r>
    </w:p>
    <w:p w14:paraId="1E514F06" w14:textId="77777777" w:rsidR="00076776" w:rsidRDefault="00076776"/>
    <w:p w14:paraId="30515666" w14:textId="77777777" w:rsidR="00076776" w:rsidRDefault="00000000">
      <w:r>
        <w:rPr>
          <w:highlight w:val="green"/>
        </w:rPr>
        <w:t>6 @</w:t>
      </w:r>
      <w:proofErr w:type="gramStart"/>
      <w:r>
        <w:rPr>
          <w:highlight w:val="green"/>
        </w:rPr>
        <w:t>Link</w:t>
      </w:r>
      <w:r>
        <w:t>:</w:t>
      </w:r>
      <w:r>
        <w:rPr>
          <w:highlight w:val="magenta"/>
        </w:rPr>
        <w:t>Rifkin</w:t>
      </w:r>
      <w:proofErr w:type="gramEnd"/>
    </w:p>
    <w:p w14:paraId="3B6C49E4" w14:textId="77777777" w:rsidR="00076776" w:rsidRDefault="00000000">
      <w:r>
        <w:t>Rifkin well summarized….</w:t>
      </w:r>
    </w:p>
    <w:p w14:paraId="445B8A91" w14:textId="77777777" w:rsidR="00076776" w:rsidRDefault="00000000">
      <w:pPr>
        <w:ind w:left="720"/>
      </w:pPr>
      <w:r>
        <w:t xml:space="preserve">Mark Rifkin’s concept of “settler common sense,” a concept he forwarded in 2014 in a rereading of three canonical American authors: Nathaniel Hawthorn, Henry David Thoreau, and Herman Melville. What Rifkin achieves in his monograph is to convince us </w:t>
      </w:r>
      <w:r>
        <w:lastRenderedPageBreak/>
        <w:t xml:space="preserve">of the centrality of cultural texts—even those that at first glance seem unrelated to settler-colonial contacts and conquest—as sites of colonial meaning-making. In Rifkin’s reading, </w:t>
      </w:r>
      <w:r>
        <w:rPr>
          <w:b/>
        </w:rPr>
        <w:t>settler colonialism operates not just in military conquest, treaty negotiation, or Indigenous policy; rather, settler occupation is constructed culturally, as texts, images, and other media of meaning produce and reproduce sets of settler assumptions that naturalize a non-native access to land and non-native modes of subjecthood</w:t>
      </w:r>
      <w:r>
        <w:t>.</w:t>
      </w:r>
    </w:p>
    <w:p w14:paraId="06DFB53F" w14:textId="77777777" w:rsidR="00076776" w:rsidRDefault="00076776"/>
    <w:p w14:paraId="4F38D9D3" w14:textId="77777777" w:rsidR="00076776" w:rsidRDefault="00000000">
      <w:r>
        <w:t>6 @Archive@Epistem@Acad@Decol</w:t>
      </w:r>
    </w:p>
    <w:p w14:paraId="5309465F" w14:textId="77777777" w:rsidR="00076776" w:rsidRDefault="00000000">
      <w:pPr>
        <w:ind w:left="720"/>
      </w:pPr>
      <w:r>
        <w:t>As the focus of settler-colonial research, cultural artifacts also possess the unique qualities of textuality and artificiality. Many of our authors demonstrate how the materiality of these archives can do settler-colonial work that is somewhat independent from the narratives contained therein.</w:t>
      </w:r>
    </w:p>
    <w:p w14:paraId="25DD98BC" w14:textId="77777777" w:rsidR="00076776" w:rsidRDefault="00076776"/>
    <w:p w14:paraId="41391F31" w14:textId="77777777" w:rsidR="00076776" w:rsidRDefault="00000000">
      <w:r>
        <w:t xml:space="preserve">@FFessay@Diss@Knote </w:t>
      </w:r>
      <w:r>
        <w:rPr>
          <w:i/>
        </w:rPr>
        <w:t>Despatches</w:t>
      </w:r>
      <w:r>
        <w:t xml:space="preserve"> as a settler-colonial cultural artifact based on an analog version of the same. This intro and other essays mentioned by Rifkin and Byrd could support a grant that aims to look at the </w:t>
      </w:r>
      <w:r>
        <w:rPr>
          <w:i/>
        </w:rPr>
        <w:t>Despatches</w:t>
      </w:r>
      <w:r>
        <w:t xml:space="preserve"> as a cultural artifact—for that matter, this could be a </w:t>
      </w:r>
      <w:proofErr w:type="gramStart"/>
      <w:r>
        <w:t>paper in itself, or</w:t>
      </w:r>
      <w:proofErr w:type="gramEnd"/>
      <w:r>
        <w:t xml:space="preserve"> a section in the paper on the </w:t>
      </w:r>
      <w:r>
        <w:rPr>
          <w:i/>
        </w:rPr>
        <w:t>Despatches</w:t>
      </w:r>
      <w:r>
        <w:t>.</w:t>
      </w:r>
    </w:p>
    <w:p w14:paraId="476E6BCC" w14:textId="77777777" w:rsidR="00076776" w:rsidRDefault="00076776"/>
    <w:p w14:paraId="722A5882" w14:textId="77777777" w:rsidR="00076776" w:rsidRDefault="00000000">
      <w:r>
        <w:t>7 @Diss@Border@SettState</w:t>
      </w:r>
    </w:p>
    <w:p w14:paraId="5D92668A" w14:textId="77777777" w:rsidR="00076776" w:rsidRDefault="00000000">
      <w:r>
        <w:t xml:space="preserve">I added this text to my @Diss readings: </w:t>
      </w:r>
    </w:p>
    <w:p w14:paraId="5474AAF3" w14:textId="77777777" w:rsidR="00076776" w:rsidRDefault="00000000">
      <w:pPr>
        <w:ind w:left="720"/>
      </w:pPr>
      <w:r>
        <w:t xml:space="preserve">Aileen Moreton-Robinson’s analysis of whiteness in settler hegemony in </w:t>
      </w:r>
      <w:r>
        <w:rPr>
          <w:b/>
          <w:i/>
        </w:rPr>
        <w:t>The White Possessive</w:t>
      </w:r>
      <w:r>
        <w:t>, we come to realize that, just as a construction of whiteness has enabled settler-colonial hegemony, settler colonialism also created or effected whiteness, since in settler states the white–</w:t>
      </w:r>
      <w:proofErr w:type="spellStart"/>
      <w:r>
        <w:t>nonwhite</w:t>
      </w:r>
      <w:proofErr w:type="spellEnd"/>
      <w:r>
        <w:t xml:space="preserve"> binary provides a more powerful mechanism of Indigenous dispossession than reliance upon national boundaries.</w:t>
      </w:r>
    </w:p>
    <w:p w14:paraId="1ACF1EEC" w14:textId="77777777" w:rsidR="00076776" w:rsidRDefault="00076776"/>
    <w:p w14:paraId="16E1F3C4" w14:textId="77777777" w:rsidR="00076776" w:rsidRDefault="00076776"/>
    <w:p w14:paraId="75516A3C" w14:textId="77777777" w:rsidR="00076776" w:rsidRDefault="00000000">
      <w:pPr>
        <w:pStyle w:val="Heading3"/>
      </w:pPr>
      <w:r>
        <w:t>Secondary quotes</w:t>
      </w:r>
    </w:p>
    <w:p w14:paraId="4F657D4D" w14:textId="77777777" w:rsidR="00076776" w:rsidRDefault="00000000">
      <w:r>
        <w:t xml:space="preserve">1 @Thesis Collection’s thesis, really: “The present collection attempts to answer these questions. Archiving Settler Colonialism: Culture, Race and Space </w:t>
      </w:r>
      <w:proofErr w:type="gramStart"/>
      <w:r>
        <w:t>brings</w:t>
      </w:r>
      <w:proofErr w:type="gramEnd"/>
      <w:r>
        <w:t xml:space="preserve"> together fifteen essays from across the globe, to capture a moment in settler-colonial studies that turns increasingly toward new cultural archives for settler-colonial research.” / … the field is now evincing a growing reliance on cultural analyses / 2 Elizabeth W. Williams’ reading of British settler romance novels set in Kenya and </w:t>
      </w:r>
      <w:r>
        <w:rPr>
          <w:highlight w:val="magenta"/>
        </w:rPr>
        <w:t>Kathryn McKay</w:t>
      </w:r>
      <w:r>
        <w:t xml:space="preserve">’s investigation of psychiatric records on female Indigenous “patients” in </w:t>
      </w:r>
      <w:r>
        <w:rPr>
          <w:b/>
        </w:rPr>
        <w:t>British Columbia</w:t>
      </w:r>
      <w:r>
        <w:t xml:space="preserve">, since both register settler fantasies and anxieties about the reproductive powers of Indigenous peoples and landscapes, but articulated in different media and with distinct real-world outcomes. / 4 </w:t>
      </w:r>
      <w:r>
        <w:rPr>
          <w:highlight w:val="magenta"/>
        </w:rPr>
        <w:t>Patrick Wolf</w:t>
      </w:r>
      <w:r>
        <w:t xml:space="preserve">e, arguably the field’s most widely cited theoretician, including such catch lines as “invasion is a structure not an event” and “settlers come to stay,” as well as the theorization of a settler “logic of elimination” regarding Indigenous lives and cultures. / 4-5 … we do observe a relative lack of engagement with Indigenous-centered scholarship—scholarship both by Indigenous-identified scholars and on Indigenous </w:t>
      </w:r>
      <w:proofErr w:type="spellStart"/>
      <w:r>
        <w:t>lifeworlds</w:t>
      </w:r>
      <w:proofErr w:type="spellEnd"/>
      <w:r>
        <w:t xml:space="preserve">—excepting Avril Bell’s and Kara Hisatake’s chapters that bookend the collection. …  </w:t>
      </w:r>
      <w:r>
        <w:rPr>
          <w:b/>
        </w:rPr>
        <w:t>most of our collection does not engage extensively with Indigenous-centered scholarship</w:t>
      </w:r>
      <w:r>
        <w:t>. / 8 Rather, it compels us to rethink what is really within the category of the “</w:t>
      </w:r>
      <w:r>
        <w:rPr>
          <w:b/>
        </w:rPr>
        <w:t>settler</w:t>
      </w:r>
      <w:r>
        <w:t xml:space="preserve">.” In some sense, this collection turns away from the question of </w:t>
      </w:r>
      <w:r>
        <w:rPr>
          <w:b/>
        </w:rPr>
        <w:t>“who” is a settler</w:t>
      </w:r>
      <w:r>
        <w:t xml:space="preserve"> and toward the questions of </w:t>
      </w:r>
      <w:r>
        <w:lastRenderedPageBreak/>
        <w:t xml:space="preserve">“when” and “how” one performs as a settler, and implicit in this inquiry is the related question of how such performance is potentially racialized. / 12 Van Rensburg analyzes the settler-colonial project imbedded in Bell’s musical aesthetics, arguing that Bell turned to Indigenous Xhosa musical themes as the tonic for what he considered to be the “ill” of </w:t>
      </w:r>
      <w:r>
        <w:rPr>
          <w:b/>
        </w:rPr>
        <w:t>European avant-garde music</w:t>
      </w:r>
      <w:r>
        <w:t xml:space="preserve">. / 14 To read, later: </w:t>
      </w:r>
      <w:r>
        <w:rPr>
          <w:highlight w:val="magenta"/>
        </w:rPr>
        <w:t>McKay</w:t>
      </w:r>
      <w:r>
        <w:t xml:space="preserve"> argues that </w:t>
      </w:r>
      <w:r>
        <w:rPr>
          <w:b/>
        </w:rPr>
        <w:t>psychiatric institutions</w:t>
      </w:r>
      <w:r>
        <w:t xml:space="preserve"> of the past and present resort to scientific racism to pathologize the behaviors of Indigenous women and to normalize white settler behaviors. Rather than studying </w:t>
      </w:r>
      <w:r>
        <w:rPr>
          <w:b/>
        </w:rPr>
        <w:t>settler colonialism’s psychological impact on Indigenous individuals</w:t>
      </w:r>
      <w:r>
        <w:t>, the chapter instead shows how the settler society categorizes Indigenous minds. In important ways, this chapter offers a new interpretation of the settler-colonial logic of elimination, as these psychiatric practices delimit the mobility and indigeneity of (potential) Indigenous mothers.</w:t>
      </w:r>
    </w:p>
    <w:p w14:paraId="0384D668" w14:textId="77777777" w:rsidR="00076776" w:rsidRDefault="00076776"/>
    <w:p w14:paraId="1A2208AF" w14:textId="77777777" w:rsidR="00076776" w:rsidRDefault="00000000">
      <w:pPr>
        <w:pStyle w:val="Heading3"/>
      </w:pPr>
      <w:r>
        <w:t>Notes</w:t>
      </w:r>
    </w:p>
    <w:p w14:paraId="26B3DE31" w14:textId="77777777" w:rsidR="00076776" w:rsidRDefault="00000000">
      <w:r>
        <w:t>1 @Arg@CounterArg@</w:t>
      </w:r>
      <w:proofErr w:type="gramStart"/>
      <w:r>
        <w:t>K?@</w:t>
      </w:r>
      <w:proofErr w:type="gramEnd"/>
      <w:r>
        <w:t>FFessay@Diss</w:t>
      </w:r>
    </w:p>
    <w:p w14:paraId="5D5FD59E" w14:textId="77777777" w:rsidR="00076776" w:rsidRDefault="00076776"/>
    <w:p w14:paraId="4092E3BE" w14:textId="77777777" w:rsidR="00076776" w:rsidRDefault="00000000">
      <w:pPr>
        <w:ind w:left="720"/>
      </w:pPr>
      <w:r>
        <w:t xml:space="preserve">In response, this collection advances this methodological shift </w:t>
      </w:r>
      <w:proofErr w:type="gramStart"/>
      <w:r>
        <w:t>in order to</w:t>
      </w:r>
      <w:proofErr w:type="gramEnd"/>
      <w:r>
        <w:t xml:space="preserve"> center </w:t>
      </w:r>
      <w:r>
        <w:rPr>
          <w:b/>
        </w:rPr>
        <w:t xml:space="preserve">cultural texts </w:t>
      </w:r>
      <w:r>
        <w:t>as a main venue of settler-colonial studies. To that end, we have invited contributors who work on hitherto underexamined materials—including postage stamps, musical scores, urban parks, and psychiatric records—to reflect on how these cultural texts record or archive moments of settler self-fashioning.</w:t>
      </w:r>
    </w:p>
    <w:p w14:paraId="5E37C597" w14:textId="77777777" w:rsidR="00076776" w:rsidRDefault="00076776"/>
    <w:p w14:paraId="1CA41C55" w14:textId="77777777" w:rsidR="00076776" w:rsidRDefault="00000000">
      <w:r>
        <w:t xml:space="preserve">Are not all texts “cultural texts”? Does this imply that non-Indigenous texts are somehow devoid of culture? </w:t>
      </w:r>
      <w:proofErr w:type="gramStart"/>
      <w:r>
        <w:t>And,</w:t>
      </w:r>
      <w:proofErr w:type="gramEnd"/>
      <w:r>
        <w:t xml:space="preserve"> is this </w:t>
      </w:r>
      <w:proofErr w:type="gramStart"/>
      <w:r>
        <w:t>really just</w:t>
      </w:r>
      <w:proofErr w:type="gramEnd"/>
      <w:r>
        <w:t xml:space="preserve"> History wrapped in a self-reflexive wrapper? Of course, I laud the work, but I detect a curious “</w:t>
      </w:r>
      <w:proofErr w:type="spellStart"/>
      <w:r>
        <w:t>genrefication</w:t>
      </w:r>
      <w:proofErr w:type="spellEnd"/>
      <w:r>
        <w:t xml:space="preserve">” in scholarship, here, that may require consideration. </w:t>
      </w:r>
    </w:p>
    <w:p w14:paraId="5EDFA0A0" w14:textId="77777777" w:rsidR="00076776" w:rsidRDefault="00076776"/>
    <w:p w14:paraId="4421F95C" w14:textId="77777777" w:rsidR="00076776" w:rsidRDefault="00000000">
      <w:r>
        <w:t>@</w:t>
      </w:r>
      <w:proofErr w:type="gramStart"/>
      <w:r>
        <w:t>K?@</w:t>
      </w:r>
      <w:proofErr w:type="gramEnd"/>
      <w:r>
        <w:t>Knote@CounterArg@OralEx@FFessay</w:t>
      </w:r>
    </w:p>
    <w:p w14:paraId="66681317" w14:textId="77777777" w:rsidR="00076776" w:rsidRDefault="00000000">
      <w:r>
        <w:t xml:space="preserve">Wouldn’t John just call this the work of History? </w:t>
      </w:r>
    </w:p>
    <w:p w14:paraId="41B13CEF" w14:textId="77777777" w:rsidR="00076776" w:rsidRDefault="00076776"/>
    <w:p w14:paraId="477B8606" w14:textId="77777777" w:rsidR="00076776" w:rsidRDefault="00000000">
      <w:pPr>
        <w:ind w:left="720"/>
      </w:pPr>
      <w:r>
        <w:t xml:space="preserve">[5] As Alissa Macoun and Elizabeth Strakosch caution in their assessment of settler-colonial studies in the Australian context, settler colonialism’s critical parlance should not be employed to evaluate Indigenous lives and political articulations. Instead, Macoun and Strakosch usefully contend that settler-colonial theories are “most usefully understood as providing non-Indigenous people in settler states with </w:t>
      </w:r>
      <w:r>
        <w:rPr>
          <w:b/>
        </w:rPr>
        <w:t>a better account of ourselves—rather than as an account of the entire settler–Indigenous relationship</w:t>
      </w:r>
      <w:r>
        <w:t>” (438).</w:t>
      </w:r>
    </w:p>
    <w:p w14:paraId="68D16EEA" w14:textId="77777777" w:rsidR="00076776" w:rsidRDefault="00076776"/>
    <w:p w14:paraId="459905F0" w14:textId="77777777" w:rsidR="00076776" w:rsidRDefault="00000000">
      <w:r>
        <w:t xml:space="preserve">@DissSource: </w:t>
      </w:r>
    </w:p>
    <w:p w14:paraId="1A85967D" w14:textId="77777777" w:rsidR="00076776" w:rsidRDefault="00000000">
      <w:r>
        <w:t xml:space="preserve">Cavanagh, Edward, and Lorenzo Veracini, eds. </w:t>
      </w:r>
      <w:r>
        <w:rPr>
          <w:i/>
        </w:rPr>
        <w:t>The Routledge Handbook of the History of Settler Colonialism</w:t>
      </w:r>
      <w:r>
        <w:t>. Routledge, 2016.</w:t>
      </w:r>
    </w:p>
    <w:p w14:paraId="11EB0C22" w14:textId="77777777" w:rsidR="00076776" w:rsidRDefault="00076776"/>
    <w:p w14:paraId="013D3C36" w14:textId="77777777" w:rsidR="00076776" w:rsidRDefault="00000000">
      <w:r>
        <w:t xml:space="preserve">Veracini, Lorenzo. </w:t>
      </w:r>
      <w:r>
        <w:rPr>
          <w:i/>
        </w:rPr>
        <w:t>Settler Colonialism: A Theoretical Overview</w:t>
      </w:r>
      <w:r>
        <w:t>. Palgrave Macmillan, 2010.</w:t>
      </w:r>
    </w:p>
    <w:p w14:paraId="253B9E83" w14:textId="77777777" w:rsidR="00076776" w:rsidRDefault="00076776"/>
    <w:p w14:paraId="7B3CD896" w14:textId="77777777" w:rsidR="00076776" w:rsidRDefault="00000000">
      <w:r>
        <w:t xml:space="preserve">Cavanagh, </w:t>
      </w:r>
      <w:proofErr w:type="gramStart"/>
      <w:r>
        <w:t>Edward ,</w:t>
      </w:r>
      <w:proofErr w:type="gramEnd"/>
      <w:r>
        <w:t xml:space="preserve"> and Lorenzo </w:t>
      </w:r>
      <w:proofErr w:type="gramStart"/>
      <w:r>
        <w:t>Veracini ,</w:t>
      </w:r>
      <w:proofErr w:type="gramEnd"/>
      <w:r>
        <w:t xml:space="preserve"> eds. </w:t>
      </w:r>
      <w:r>
        <w:rPr>
          <w:i/>
        </w:rPr>
        <w:t>The Routledge Handbook of the History of Settler Colonialism</w:t>
      </w:r>
      <w:r>
        <w:t>. Routledge, 2016.</w:t>
      </w:r>
    </w:p>
    <w:p w14:paraId="684DE565" w14:textId="77777777" w:rsidR="00076776" w:rsidRDefault="00076776"/>
    <w:p w14:paraId="0F662F55" w14:textId="77777777" w:rsidR="00076776" w:rsidRDefault="00000000">
      <w:r>
        <w:lastRenderedPageBreak/>
        <w:t xml:space="preserve">Veracini, </w:t>
      </w:r>
      <w:proofErr w:type="gramStart"/>
      <w:r>
        <w:t>Lorenzo .</w:t>
      </w:r>
      <w:proofErr w:type="gramEnd"/>
      <w:r>
        <w:t xml:space="preserve"> </w:t>
      </w:r>
      <w:r>
        <w:rPr>
          <w:i/>
        </w:rPr>
        <w:t>The Settler Colonial Present</w:t>
      </w:r>
      <w:r>
        <w:t>. Palgrave Macmillan, 2015.</w:t>
      </w:r>
    </w:p>
    <w:p w14:paraId="5E3288F9" w14:textId="77777777" w:rsidR="00076776" w:rsidRDefault="00076776"/>
    <w:p w14:paraId="53BDA208" w14:textId="77777777" w:rsidR="00076776" w:rsidRDefault="00000000">
      <w:r>
        <w:t xml:space="preserve">Veracini, </w:t>
      </w:r>
      <w:proofErr w:type="gramStart"/>
      <w:r>
        <w:t>Lorenzo .</w:t>
      </w:r>
      <w:proofErr w:type="gramEnd"/>
      <w:r>
        <w:t xml:space="preserve"> “Settler Collective, Founding Violence and Disavowal: The Settler Colonial Situation.” </w:t>
      </w:r>
      <w:r>
        <w:rPr>
          <w:i/>
        </w:rPr>
        <w:t>Journal of Intercultural Studies</w:t>
      </w:r>
      <w:r>
        <w:t>, vol. 29, no. 4, 2008, pp. 363-79.</w:t>
      </w:r>
    </w:p>
    <w:p w14:paraId="2CFDE420" w14:textId="77777777" w:rsidR="00076776" w:rsidRDefault="00000000">
      <w:pPr>
        <w:pStyle w:val="Heading1"/>
      </w:pPr>
      <w:bookmarkStart w:id="23" w:name="_heading=h.2xcytpi" w:colFirst="0" w:colLast="0"/>
      <w:bookmarkEnd w:id="23"/>
      <w:r>
        <w:t xml:space="preserve">(2018) </w:t>
      </w:r>
      <w:proofErr w:type="spellStart"/>
      <w:r>
        <w:t>Risam</w:t>
      </w:r>
      <w:proofErr w:type="spellEnd"/>
      <w:r>
        <w:t>, “Telling Untold Stories: Digital Textual Recovery Methods”</w:t>
      </w:r>
    </w:p>
    <w:p w14:paraId="23256396" w14:textId="77777777" w:rsidR="00076776" w:rsidRDefault="00076776"/>
    <w:p w14:paraId="6C6A41AA" w14:textId="77777777" w:rsidR="00076776" w:rsidRDefault="00000000">
      <w:pPr>
        <w:pStyle w:val="Heading2"/>
      </w:pPr>
      <w:r>
        <w:t>Abstract</w:t>
      </w:r>
    </w:p>
    <w:p w14:paraId="4365FE3C" w14:textId="77777777" w:rsidR="00076776" w:rsidRDefault="00000000">
      <w:r>
        <w:t xml:space="preserve">A case for “digital textual recovery”—publishing marginalized, </w:t>
      </w:r>
      <w:proofErr w:type="spellStart"/>
      <w:r>
        <w:t>copywrite</w:t>
      </w:r>
      <w:proofErr w:type="spellEnd"/>
      <w:r>
        <w:t>-free texts— and a remarkably handy introduction to TEI Boilerplate: https://github.com/GrantLS/TEI-Boilerplate.</w:t>
      </w:r>
    </w:p>
    <w:p w14:paraId="3AD717CB" w14:textId="77777777" w:rsidR="00076776" w:rsidRDefault="00076776"/>
    <w:p w14:paraId="68B891F9" w14:textId="77777777" w:rsidR="00076776" w:rsidRDefault="00000000">
      <w:pPr>
        <w:pStyle w:val="Heading2"/>
      </w:pPr>
      <w:r>
        <w:t>Key words</w:t>
      </w:r>
    </w:p>
    <w:p w14:paraId="0BC4E563" w14:textId="77777777" w:rsidR="00076776" w:rsidRDefault="00000000">
      <w:r>
        <w:t>TEI, XML, XSLT, marginalized text, social justice, DH, DH methodology, pedagogy</w:t>
      </w:r>
    </w:p>
    <w:p w14:paraId="1BA0B7F8" w14:textId="77777777" w:rsidR="00076776" w:rsidRDefault="00076776"/>
    <w:p w14:paraId="7FBE76FD" w14:textId="77777777" w:rsidR="00076776" w:rsidRDefault="00000000">
      <w:pPr>
        <w:pStyle w:val="Heading2"/>
      </w:pPr>
      <w:r>
        <w:t>Essential quote</w:t>
      </w:r>
    </w:p>
    <w:p w14:paraId="48E7B634" w14:textId="77777777" w:rsidR="00076776" w:rsidRDefault="00000000">
      <w:r>
        <w:t xml:space="preserve">318: Engaging in the work of digital textual recovery is, therefore, an ethical and political intervention in digital humanities that is essential to cultural survival for marginalized voices. </w:t>
      </w:r>
    </w:p>
    <w:p w14:paraId="7C45D11D" w14:textId="77777777" w:rsidR="00076776" w:rsidRDefault="00076776"/>
    <w:p w14:paraId="1D7438C7" w14:textId="77777777" w:rsidR="00076776" w:rsidRDefault="00000000">
      <w:pPr>
        <w:pStyle w:val="Heading2"/>
      </w:pPr>
      <w:r>
        <w:t>Terms</w:t>
      </w:r>
    </w:p>
    <w:p w14:paraId="0EB2EBB5" w14:textId="77777777" w:rsidR="00076776" w:rsidRDefault="00000000">
      <w:r>
        <w:t xml:space="preserve">310: </w:t>
      </w:r>
      <w:r>
        <w:rPr>
          <w:b/>
        </w:rPr>
        <w:t>digital textual recovery</w:t>
      </w:r>
      <w:r>
        <w:t>: … using the Text Encoding Initiative (TEI) guidelines for digitizing texts to create digital editions of public domain texts. According to copyright laws in the United States, texts published before 1923 are in the public domain and are thus available for use for digital editions.</w:t>
      </w:r>
    </w:p>
    <w:p w14:paraId="01094830" w14:textId="77777777" w:rsidR="00076776" w:rsidRDefault="00000000">
      <w:r>
        <w:t xml:space="preserve">311: </w:t>
      </w:r>
      <w:r>
        <w:rPr>
          <w:b/>
        </w:rPr>
        <w:t>TEI</w:t>
      </w:r>
      <w:r>
        <w:t xml:space="preserve">: … founded in 1987, develops guidelines for marking up texts with tags that make them machine readable. TEI tags look </w:t>
      </w:r>
      <w:proofErr w:type="gramStart"/>
      <w:r>
        <w:t>similar to</w:t>
      </w:r>
      <w:proofErr w:type="gramEnd"/>
      <w:r>
        <w:t xml:space="preserve"> HTML tags, set off by open tags (&lt;) and close tags (&gt;) that enclose elements that indicate features of texts, such as stanza breaks, underlining, italics, deletions, and additions. The difference between TEI and HTML elements, however, is that TEI elements are descriptive and do not function as operators.</w:t>
      </w:r>
    </w:p>
    <w:p w14:paraId="5C230D36" w14:textId="77777777" w:rsidR="00076776" w:rsidRDefault="00000000">
      <w:r>
        <w:t xml:space="preserve">312: </w:t>
      </w:r>
      <w:r>
        <w:rPr>
          <w:b/>
        </w:rPr>
        <w:t>TEI markup</w:t>
      </w:r>
      <w:r>
        <w:t>: … uses a tree-like structure, where the document itself functions as the root, while the divisions and features of the text function as branches (see Fig. 17.1). This facilitates the machine-readability of the text.</w:t>
      </w:r>
    </w:p>
    <w:p w14:paraId="47BEBE2A" w14:textId="77777777" w:rsidR="00076776" w:rsidRDefault="00000000">
      <w:r>
        <w:t xml:space="preserve">312: </w:t>
      </w:r>
      <w:r>
        <w:rPr>
          <w:b/>
        </w:rPr>
        <w:t>XSLT stylesheets</w:t>
      </w:r>
      <w:r>
        <w:t xml:space="preserve">: </w:t>
      </w:r>
      <w:proofErr w:type="spellStart"/>
      <w:r>
        <w:t>eXtensible</w:t>
      </w:r>
      <w:proofErr w:type="spellEnd"/>
      <w:r>
        <w:t xml:space="preserve"> Stylesheet Language. </w:t>
      </w:r>
    </w:p>
    <w:p w14:paraId="7B9225A0" w14:textId="77777777" w:rsidR="00076776" w:rsidRDefault="00000000">
      <w:r>
        <w:t xml:space="preserve">314: </w:t>
      </w:r>
      <w:r>
        <w:rPr>
          <w:b/>
        </w:rPr>
        <w:t>the minimal edition</w:t>
      </w:r>
      <w:r>
        <w:t>: An alternative approach to creating digital editions is the “minimal edition.” Edward Vanhoutte defines the minimal edition as “a cultural product that is produced by the scholarly editor acting as a curator or guardian of the text.”</w:t>
      </w:r>
      <w:r>
        <w:rPr>
          <w:vertAlign w:val="superscript"/>
        </w:rPr>
        <w:t xml:space="preserve">9 </w:t>
      </w:r>
      <w:r>
        <w:t>The minimal edition stands in contrast to the “maximal edition,” or, “an academic product in which the scholarly editor demonstrates his/her scholarly accuracy and scrutiny.”</w:t>
      </w:r>
      <w:r>
        <w:rPr>
          <w:vertAlign w:val="superscript"/>
        </w:rPr>
        <w:t>10</w:t>
      </w:r>
      <w:r>
        <w:t xml:space="preserve"> </w:t>
      </w:r>
    </w:p>
    <w:p w14:paraId="30BA5932" w14:textId="77777777" w:rsidR="00076776" w:rsidRDefault="00000000">
      <w:r>
        <w:t xml:space="preserve">315: </w:t>
      </w:r>
      <w:r>
        <w:rPr>
          <w:b/>
        </w:rPr>
        <w:t>TEI Boilerplate</w:t>
      </w:r>
      <w:r>
        <w:t xml:space="preserve">: not intended to be a replacement for the many excellent XSLT solutions for publishing and displaying TEI/XML on the web. It is intended to be a </w:t>
      </w:r>
      <w:r>
        <w:rPr>
          <w:i/>
        </w:rPr>
        <w:t>simple and lightweight</w:t>
      </w:r>
      <w:r>
        <w:t xml:space="preserve"> alternative to more complex XSLT solutions.”</w:t>
      </w:r>
      <w:r>
        <w:rPr>
          <w:vertAlign w:val="superscript"/>
        </w:rPr>
        <w:t>15</w:t>
      </w:r>
      <w:r>
        <w:t xml:space="preserve"> For the purposes of those wishing to try out TEI, however, TEI Boilerplate is a logical starting point. … TEI Boilerplate is a useful place to begin </w:t>
      </w:r>
      <w:r>
        <w:lastRenderedPageBreak/>
        <w:t>for those who are new to TEI because the essential components of the TEI document are built into the TEI Boilerplate files.</w:t>
      </w:r>
    </w:p>
    <w:p w14:paraId="77FCA68E" w14:textId="77777777" w:rsidR="00076776" w:rsidRDefault="00000000">
      <w:r>
        <w:t xml:space="preserve">316: </w:t>
      </w:r>
      <w:r>
        <w:rPr>
          <w:b/>
        </w:rPr>
        <w:t xml:space="preserve">TEI Header </w:t>
      </w:r>
      <w:r>
        <w:t>(&lt;</w:t>
      </w:r>
      <w:proofErr w:type="spellStart"/>
      <w:r>
        <w:t>teiHeader</w:t>
      </w:r>
      <w:proofErr w:type="spellEnd"/>
      <w:r>
        <w:t>&gt;): … which includes metadata elements for the text being digitized, such as title, author, editor, place of publication, publisher, and availability of the text, as well as licensing for TEI Boilerplate.</w:t>
      </w:r>
    </w:p>
    <w:p w14:paraId="328E9C29" w14:textId="77777777" w:rsidR="00076776" w:rsidRDefault="00000000">
      <w:r>
        <w:t xml:space="preserve">316: </w:t>
      </w:r>
      <w:r>
        <w:rPr>
          <w:b/>
        </w:rPr>
        <w:t>rendition tags</w:t>
      </w:r>
      <w:r>
        <w:t xml:space="preserve">: … to indicate and render features of the text, such as alignment, indents, and small caps. </w:t>
      </w:r>
    </w:p>
    <w:p w14:paraId="24098D10" w14:textId="77777777" w:rsidR="00076776" w:rsidRDefault="00000000">
      <w:r>
        <w:t xml:space="preserve">316: </w:t>
      </w:r>
      <w:r>
        <w:rPr>
          <w:b/>
        </w:rPr>
        <w:t>born-digital</w:t>
      </w:r>
      <w:r>
        <w:t>: If the text is born-digital (originally published as a digital document, rather than a print one)</w:t>
      </w:r>
    </w:p>
    <w:p w14:paraId="1D75732F" w14:textId="77777777" w:rsidR="00076776" w:rsidRDefault="00076776"/>
    <w:p w14:paraId="3DD099C8" w14:textId="77777777" w:rsidR="00076776" w:rsidRDefault="00000000">
      <w:pPr>
        <w:pStyle w:val="Heading2"/>
      </w:pPr>
      <w:r>
        <w:t>Core quotes</w:t>
      </w:r>
    </w:p>
    <w:p w14:paraId="06A860FB" w14:textId="77777777" w:rsidR="00076776" w:rsidRDefault="00076776"/>
    <w:p w14:paraId="049D3010" w14:textId="77777777" w:rsidR="00076776" w:rsidRDefault="00000000">
      <w:r>
        <w:t>309 @DH@Con@Technoc@Capital@CultBias</w:t>
      </w:r>
    </w:p>
    <w:p w14:paraId="1D49961A" w14:textId="77777777" w:rsidR="00076776" w:rsidRDefault="00000000">
      <w:pPr>
        <w:ind w:left="720"/>
      </w:pPr>
      <w:r>
        <w:t xml:space="preserve">Digital environments are increasingly becoming the spaces where the cultural memory of humanity is produced, disseminated, and consumed. At the same time, these spaces are increasingly being colonized by corporations like Sage and ProQuest, which are creating and </w:t>
      </w:r>
      <w:proofErr w:type="spellStart"/>
      <w:r>
        <w:rPr>
          <w:b/>
        </w:rPr>
        <w:t>paywalling</w:t>
      </w:r>
      <w:proofErr w:type="spellEnd"/>
      <w:r>
        <w:rPr>
          <w:b/>
        </w:rPr>
        <w:t xml:space="preserve"> knowledge</w:t>
      </w:r>
      <w:r>
        <w:t>. As a result, digital cultural memory is in danger of becoming a product of corporate interests, which favor canonical texts and writers. This risks a critical lack of representation for writers outside of the dominant cultures of the Global North. However, the affordances of Digital Humanities and availability of Web 2.0 tools create possibilities for intervening in these gaps in representation.</w:t>
      </w:r>
    </w:p>
    <w:p w14:paraId="2B103771" w14:textId="77777777" w:rsidR="00076776" w:rsidRDefault="00076776"/>
    <w:p w14:paraId="282BB548" w14:textId="77777777" w:rsidR="00076776" w:rsidRDefault="00000000">
      <w:r>
        <w:t>318 @Arg@Techtopia@XML</w:t>
      </w:r>
    </w:p>
    <w:p w14:paraId="2FD64CB8" w14:textId="77777777" w:rsidR="00076776" w:rsidRDefault="00000000">
      <w:pPr>
        <w:ind w:left="720"/>
      </w:pPr>
      <w:r>
        <w:t>The process of marking-up a text to create an edition and making it available online can bring new attention to texts from writers who have previously received little attention or have disappeared from readership.</w:t>
      </w:r>
    </w:p>
    <w:p w14:paraId="4B4A0636" w14:textId="77777777" w:rsidR="00076776" w:rsidRDefault="00076776"/>
    <w:p w14:paraId="71DD1783" w14:textId="77777777" w:rsidR="00076776" w:rsidRDefault="00000000">
      <w:pPr>
        <w:pStyle w:val="Heading2"/>
      </w:pPr>
      <w:r>
        <w:t>Secondary quotes</w:t>
      </w:r>
    </w:p>
    <w:p w14:paraId="49DBEAE2" w14:textId="77777777" w:rsidR="00076776" w:rsidRDefault="00000000">
      <w:r>
        <w:t>311 … how Digital Humanities methods might be used to make public domain texts more useful, particularly for teaching … / … we discovered that a print-on-demand publishing operation was simply reproducing extant public domain copies of texts without any quality control. / 315 By making Ed. available for public use, Gil raises an important question for those editing texts to consider: when and under what conditions are maximal editions, such as those that use TEI or include critical apparatuses, beneficial for producing an edition of a text, and when is a minimal edition the appropriate choice?</w:t>
      </w:r>
      <w:r>
        <w:rPr>
          <w:vertAlign w:val="superscript"/>
        </w:rPr>
        <w:t xml:space="preserve">12 </w:t>
      </w:r>
      <w:r>
        <w:t xml:space="preserve">/ </w:t>
      </w:r>
    </w:p>
    <w:p w14:paraId="14CEC854" w14:textId="77777777" w:rsidR="00076776" w:rsidRDefault="00076776"/>
    <w:p w14:paraId="5BE80B64" w14:textId="77777777" w:rsidR="00076776" w:rsidRDefault="00000000">
      <w:pPr>
        <w:pStyle w:val="Heading2"/>
      </w:pPr>
      <w:r>
        <w:t>Notes</w:t>
      </w:r>
    </w:p>
    <w:p w14:paraId="7009E31A" w14:textId="77777777" w:rsidR="00076776" w:rsidRDefault="00000000">
      <w:r>
        <w:t>315 @TechDev@XML</w:t>
      </w:r>
    </w:p>
    <w:p w14:paraId="465A4C3D" w14:textId="77777777" w:rsidR="00076776" w:rsidRDefault="00000000">
      <w:r>
        <w:t xml:space="preserve">To get started, download </w:t>
      </w:r>
      <w:r>
        <w:rPr>
          <w:b/>
        </w:rPr>
        <w:t>the TEI Boilerplate files</w:t>
      </w:r>
      <w:r>
        <w:t xml:space="preserve"> (</w:t>
      </w:r>
      <w:hyperlink r:id="rId23">
        <w:r w:rsidR="00076776">
          <w:rPr>
            <w:color w:val="0563C1"/>
            <w:u w:val="single"/>
          </w:rPr>
          <w:t>https://github.com/GrantLS/TEI-Boilerplate</w:t>
        </w:r>
      </w:hyperlink>
      <w:r>
        <w:t>).</w:t>
      </w:r>
    </w:p>
    <w:p w14:paraId="112B9A4D" w14:textId="77777777" w:rsidR="00076776" w:rsidRDefault="00076776"/>
    <w:p w14:paraId="50CB4327" w14:textId="77777777" w:rsidR="00076776" w:rsidRDefault="00000000">
      <w:r>
        <w:t>314 @K?</w:t>
      </w:r>
    </w:p>
    <w:p w14:paraId="20DC1E70" w14:textId="77777777" w:rsidR="00076776" w:rsidRDefault="00000000">
      <w:pPr>
        <w:ind w:left="720"/>
      </w:pPr>
      <w:r>
        <w:t xml:space="preserve">Unlike </w:t>
      </w:r>
      <w:r>
        <w:rPr>
          <w:i/>
        </w:rPr>
        <w:t>The Harlem Shadows Project</w:t>
      </w:r>
      <w:r>
        <w:t xml:space="preserve">, Harlem Echoes tags poems thematically to offer users points of entry into McKay’s poems through </w:t>
      </w:r>
      <w:r>
        <w:rPr>
          <w:b/>
        </w:rPr>
        <w:t>themes that may interest them</w:t>
      </w:r>
      <w:r>
        <w:t xml:space="preserve">… </w:t>
      </w:r>
    </w:p>
    <w:p w14:paraId="37887E69" w14:textId="77777777" w:rsidR="00076776" w:rsidRDefault="00076776"/>
    <w:p w14:paraId="0A66662D" w14:textId="77777777" w:rsidR="00076776" w:rsidRDefault="00000000">
      <w:r>
        <w:lastRenderedPageBreak/>
        <w:t xml:space="preserve">And this is the rub: how to move past the single-source, or small editorial board’s ides of what </w:t>
      </w:r>
      <w:proofErr w:type="gramStart"/>
      <w:r>
        <w:t>constitutes :”interesting</w:t>
      </w:r>
      <w:proofErr w:type="gramEnd"/>
      <w:r>
        <w:t>.”</w:t>
      </w:r>
    </w:p>
    <w:p w14:paraId="156A92A2" w14:textId="77777777" w:rsidR="00076776" w:rsidRDefault="00076776"/>
    <w:p w14:paraId="348812DD" w14:textId="77777777" w:rsidR="00076776" w:rsidRDefault="00000000">
      <w:pPr>
        <w:pStyle w:val="Heading1"/>
      </w:pPr>
      <w:bookmarkStart w:id="24" w:name="_heading=h.1ci93xb" w:colFirst="0" w:colLast="0"/>
      <w:bookmarkEnd w:id="24"/>
      <w:r>
        <w:t xml:space="preserve">*(2018) Smith, Tuck, &amp; Yang, </w:t>
      </w:r>
      <w:r>
        <w:rPr>
          <w:i/>
        </w:rPr>
        <w:t>Indigenous and Decolonizing Studies in Education: Mapping the Long View</w:t>
      </w:r>
    </w:p>
    <w:p w14:paraId="63488319" w14:textId="77777777" w:rsidR="00076776" w:rsidRDefault="00076776"/>
    <w:p w14:paraId="6FDA359D" w14:textId="77777777" w:rsidR="00076776" w:rsidRDefault="00000000">
      <w:pPr>
        <w:pStyle w:val="Heading2"/>
      </w:pPr>
      <w:r>
        <w:t>Tuck &amp; Yang, Series’ Editor Introduction</w:t>
      </w:r>
    </w:p>
    <w:p w14:paraId="2147B894" w14:textId="77777777" w:rsidR="00076776" w:rsidRDefault="00000000">
      <w:pPr>
        <w:pStyle w:val="Heading3"/>
      </w:pPr>
      <w:r>
        <w:t>Abstract</w:t>
      </w:r>
    </w:p>
    <w:p w14:paraId="5780D8DC" w14:textId="77777777" w:rsidR="00076776" w:rsidRDefault="00000000">
      <w:r>
        <w:t xml:space="preserve">Introduction to the key concepts in the series, with working definitions of some key terms. </w:t>
      </w:r>
    </w:p>
    <w:p w14:paraId="050C5AA0" w14:textId="77777777" w:rsidR="00076776" w:rsidRDefault="00076776"/>
    <w:p w14:paraId="45FD526A" w14:textId="77777777" w:rsidR="00076776" w:rsidRDefault="00000000">
      <w:pPr>
        <w:pStyle w:val="Heading3"/>
      </w:pPr>
      <w:r>
        <w:t>Key words</w:t>
      </w:r>
    </w:p>
    <w:p w14:paraId="224F7F61" w14:textId="77777777" w:rsidR="00076776" w:rsidRDefault="00000000">
      <w:r>
        <w:t>Indigenous methodologies, pedagogy, settler state, epistemologies, knowledge frameworks</w:t>
      </w:r>
    </w:p>
    <w:p w14:paraId="5ED68208" w14:textId="77777777" w:rsidR="00076776" w:rsidRDefault="00076776"/>
    <w:p w14:paraId="664745EB" w14:textId="77777777" w:rsidR="00076776" w:rsidRDefault="00000000">
      <w:pPr>
        <w:pStyle w:val="Heading3"/>
      </w:pPr>
      <w:r>
        <w:t>Essential quote</w:t>
      </w:r>
    </w:p>
    <w:p w14:paraId="5752407B" w14:textId="77777777" w:rsidR="00076776" w:rsidRDefault="00000000">
      <w:r>
        <w:t xml:space="preserve">xvi Decolonizing participatory research approaches make explicit how knowledge is territorialized (Simpson, 2007); namely, the university is settler colonial in its acquisitions of “data” on Indigenous and non-white communities (Tuck &amp; Yang, 2014), </w:t>
      </w:r>
      <w:r>
        <w:rPr>
          <w:b/>
        </w:rPr>
        <w:t>in its framing of these communities as pathologically Other</w:t>
      </w:r>
      <w:r>
        <w:t xml:space="preserve"> (Patel, 2013b), and in its theorizing of how change ought to happen to these communities (Tuck &amp;Yang, 2014).</w:t>
      </w:r>
    </w:p>
    <w:p w14:paraId="09808F0C" w14:textId="77777777" w:rsidR="00076776" w:rsidRDefault="00076776"/>
    <w:p w14:paraId="23FC631A" w14:textId="77777777" w:rsidR="00076776" w:rsidRDefault="00000000">
      <w:pPr>
        <w:pStyle w:val="Heading3"/>
      </w:pPr>
      <w:r>
        <w:t>Terms</w:t>
      </w:r>
    </w:p>
    <w:p w14:paraId="2472A893" w14:textId="77777777" w:rsidR="00076776" w:rsidRDefault="00000000">
      <w:r>
        <w:t xml:space="preserve">xi </w:t>
      </w:r>
      <w:r>
        <w:rPr>
          <w:b/>
        </w:rPr>
        <w:t>Indigenous methodologies of inquiry</w:t>
      </w:r>
      <w:r>
        <w:t>: seek to regenerate Indigenous ways of knowing and research, and craft educational spaces for Indigenous peoples, by Indigenous peoples (Smith, 2012). Many discussions of Indigenous methodologies highlight the role of</w:t>
      </w:r>
      <w:r>
        <w:rPr>
          <w:b/>
        </w:rPr>
        <w:t xml:space="preserve"> </w:t>
      </w:r>
      <w:r>
        <w:t xml:space="preserve">Indigenous cos- </w:t>
      </w:r>
      <w:proofErr w:type="spellStart"/>
      <w:r>
        <w:t>mologies</w:t>
      </w:r>
      <w:proofErr w:type="spellEnd"/>
      <w:r>
        <w:t xml:space="preserve">, </w:t>
      </w:r>
      <w:proofErr w:type="spellStart"/>
      <w:r>
        <w:t>axiologies</w:t>
      </w:r>
      <w:proofErr w:type="spellEnd"/>
      <w:r>
        <w:t xml:space="preserve">, and epistemologies in the design and implementation of research (Smith, 2012; Wilson, 2008; Kovach, 2009; </w:t>
      </w:r>
      <w:proofErr w:type="spellStart"/>
      <w:r>
        <w:t>Chilisa</w:t>
      </w:r>
      <w:proofErr w:type="spellEnd"/>
      <w:r>
        <w:t xml:space="preserve">, 2011). Indigenous research methodologies emerge from Indigenous epistemologies or knowledge </w:t>
      </w:r>
      <w:proofErr w:type="gramStart"/>
      <w:r>
        <w:t>frameworks</w:t>
      </w:r>
      <w:proofErr w:type="gramEnd"/>
      <w:r>
        <w:t xml:space="preserve"> so they are always people- and place-specific (Smith, 2012; Tuck &amp; McKenzie, 2015). The same Indigenous research methods may be used across many contexts but will always need to be tailored to that context to match community needs and understandings of knowledge and knowing. // Indigenous research methods are distinct from other research methods not because they are so vastly different—many Indigenous methods include interviews, focus groups, surveys, archival research, and other tried-and-true methods of social science—but because of the theories that guide them. … built upon the concept of relational validity or “relational accountability” (Wilson, 2008, p. 77). In other words, what is most “important and meaningful is fulfilling a role and obligations in the research relationship—that is, being accountable to your relations” (Wilson, 2008, p. 77).</w:t>
      </w:r>
    </w:p>
    <w:p w14:paraId="5DB9D7DB" w14:textId="77777777" w:rsidR="00076776" w:rsidRDefault="00000000">
      <w:r>
        <w:t xml:space="preserve">xi </w:t>
      </w:r>
      <w:r>
        <w:rPr>
          <w:b/>
        </w:rPr>
        <w:t>decolonization studies</w:t>
      </w:r>
      <w:r>
        <w:t xml:space="preserve">: … informed by Indigenous theory, history, epistemology, and futurity. Decolonization studies emphasize the ways that colonization and decolonization are time-specific and land-specific (Fanon, </w:t>
      </w:r>
      <w:proofErr w:type="gramStart"/>
      <w:r>
        <w:t>1963;Tuck</w:t>
      </w:r>
      <w:proofErr w:type="gramEnd"/>
      <w:r>
        <w:t xml:space="preserve"> &amp;Yang, 2012). </w:t>
      </w:r>
    </w:p>
    <w:p w14:paraId="3D9ADF33" w14:textId="77777777" w:rsidR="00076776" w:rsidRDefault="00000000">
      <w:r>
        <w:lastRenderedPageBreak/>
        <w:t xml:space="preserve">xii </w:t>
      </w:r>
      <w:r>
        <w:rPr>
          <w:b/>
        </w:rPr>
        <w:t>exogenous domination or exploitation colonialism</w:t>
      </w:r>
      <w:r>
        <w:t>: Theories of colonialism have largely focused on what is sometimes called exogenous domination (</w:t>
      </w:r>
      <w:r>
        <w:rPr>
          <w:highlight w:val="magenta"/>
        </w:rPr>
        <w:t>Veracini</w:t>
      </w:r>
      <w:r>
        <w:t xml:space="preserve">, 2011), exploitation colonialism, or external colonialism—three names for the same form. In this form of colonization, small numbers of colonizers go to a “new” place and dominate a local labor force </w:t>
      </w:r>
      <w:proofErr w:type="gramStart"/>
      <w:r>
        <w:t>in order to</w:t>
      </w:r>
      <w:proofErr w:type="gramEnd"/>
      <w:r>
        <w:t xml:space="preserve"> send resources back to the metropole; for example, the spice trade that impelled the colonization of India by several different European empires.</w:t>
      </w:r>
    </w:p>
    <w:p w14:paraId="79717DEB" w14:textId="77777777" w:rsidR="00076776" w:rsidRDefault="00000000">
      <w:r>
        <w:t xml:space="preserve">xii </w:t>
      </w:r>
      <w:r>
        <w:rPr>
          <w:b/>
        </w:rPr>
        <w:t>settler colonialism</w:t>
      </w:r>
      <w:r>
        <w:t xml:space="preserve"> has been resisted and systematically critiqued by Indigenous philosophers since its outset, it has only been in the last two decades that settler colonialism has been more comprehensively theorized in academe, mostly via the emergence of the field of settler colonial studies. Settler colonialism is a form of colonization in which outsiders come to land inhabited by Indigenous peoples and claim it as their own new home (Tuck, McKenzie, &amp; McCoy, 2014; see also </w:t>
      </w:r>
      <w:proofErr w:type="spellStart"/>
      <w:r>
        <w:t>Hinkinson</w:t>
      </w:r>
      <w:proofErr w:type="spellEnd"/>
      <w:r>
        <w:t>, 2012). … decolonization from settler colonialism in the US will require a repatriation of Indigenous land and abolition of slavery in all its forms (Tuck &amp; Yang, 2012).</w:t>
      </w:r>
    </w:p>
    <w:p w14:paraId="11F88AC6" w14:textId="77777777" w:rsidR="00076776" w:rsidRDefault="00000000">
      <w:r>
        <w:t xml:space="preserve">xiii </w:t>
      </w:r>
      <w:r>
        <w:rPr>
          <w:b/>
        </w:rPr>
        <w:t>social justice education</w:t>
      </w:r>
      <w:r>
        <w:t>: … social justice education is concerned with catalytic validity (Lather, 1991; see also Fine, 2008</w:t>
      </w:r>
      <w:proofErr w:type="gramStart"/>
      <w:r>
        <w:t>).That</w:t>
      </w:r>
      <w:proofErr w:type="gramEnd"/>
      <w:r>
        <w:t xml:space="preserve"> is, what is valid in research is that which resonates with people’s lives and informs their power to make change. Social justice education in this respect has a general commitment to social change, even though that change is not necessarily decolonizing.</w:t>
      </w:r>
    </w:p>
    <w:p w14:paraId="06F07EB6" w14:textId="77777777" w:rsidR="00076776" w:rsidRDefault="00000000">
      <w:r>
        <w:t xml:space="preserve">xiii </w:t>
      </w:r>
      <w:r>
        <w:rPr>
          <w:b/>
        </w:rPr>
        <w:t>Critical pedagogy</w:t>
      </w:r>
      <w:r>
        <w:t xml:space="preserve"> is one site of radical critique of education, rooted in sometimes Marxist (McLaren, 2003), sometimes postmodern (Giroux, 1991) desires for social transformation. … interrogates pedagogy not simply as effective classroom practice, but as a source of praxis that has a present purpose and future purpose toward change (</w:t>
      </w:r>
      <w:proofErr w:type="spellStart"/>
      <w:r>
        <w:t>Picower</w:t>
      </w:r>
      <w:proofErr w:type="spellEnd"/>
      <w:r>
        <w:t>, 2012; Au, 2012; Duncan-Andrade &amp; Morrell, 2008).</w:t>
      </w:r>
    </w:p>
    <w:p w14:paraId="5339C91C" w14:textId="77777777" w:rsidR="00076776" w:rsidRDefault="00000000">
      <w:r>
        <w:t xml:space="preserve">xiii </w:t>
      </w:r>
      <w:r>
        <w:rPr>
          <w:b/>
        </w:rPr>
        <w:t>Postcritical pedagogy</w:t>
      </w:r>
      <w:r>
        <w:t xml:space="preserve"> (Lather, 1995) is concerned with challenging and deconstructing the patriarchal tendencies of critical pedagogy, especially tendencies that install barriers for everyday people to speak for themselves (p. 180).</w:t>
      </w:r>
    </w:p>
    <w:p w14:paraId="6AE50B77" w14:textId="77777777" w:rsidR="00076776" w:rsidRDefault="00000000">
      <w:r>
        <w:t xml:space="preserve">xiii </w:t>
      </w:r>
      <w:r>
        <w:rPr>
          <w:b/>
        </w:rPr>
        <w:t>curriculum studies</w:t>
      </w:r>
      <w:r>
        <w:t>: … which arose from examinations of how schooling as well as other state institutions inculcate people for their place within capitalism. … the deeper lesson entails a “hidden curriculum” (Apple, 2004) that normalizes class, gender, sexuality, citizenship, and race. … fundamentally concerned with articulating how the disciplinary procedures in schooling connect to unequal relations of power in society.</w:t>
      </w:r>
    </w:p>
    <w:p w14:paraId="6FF5BB54" w14:textId="77777777" w:rsidR="00076776" w:rsidRDefault="00000000">
      <w:r>
        <w:rPr>
          <w:highlight w:val="green"/>
        </w:rPr>
        <w:t xml:space="preserve">xiii-xiv </w:t>
      </w:r>
      <w:r>
        <w:rPr>
          <w:b/>
          <w:highlight w:val="green"/>
        </w:rPr>
        <w:t>“browning” of curriculum</w:t>
      </w:r>
      <w:r>
        <w:t xml:space="preserve">: Rubén Gaztambide-Fernández (2006) forwards the idea of “browning” of curriculum studies as a refusal of the linear narrative of curriculum studies as “originating” from white fathers of critical theory, then progressing toward a multicultural inclusion of non-whiteness into the curriculum studies. Browning is a kind of stain that resurfaces, that calls to attention the continuing reassertions of white supremacy and colonialism not only in curriculum, but in curriculum studies and thus the theorizations of how power operates and how change occurs. Browning gestures toward the possibilities for Indigenous and decolonizing studies to refuse settler colonial replacement (Tuck &amp; Gaztambide-Fernández, 2013; see also Calderon, 2014); that is, the re-assimilation and re-incorporation of Indigenous theory under a patrilineal critical theory. </w:t>
      </w:r>
    </w:p>
    <w:p w14:paraId="41208352" w14:textId="77777777" w:rsidR="00076776" w:rsidRDefault="00000000">
      <w:r>
        <w:t xml:space="preserve">xiv </w:t>
      </w:r>
      <w:r>
        <w:rPr>
          <w:b/>
        </w:rPr>
        <w:t>Harm reduction models</w:t>
      </w:r>
      <w:r>
        <w:t xml:space="preserve"> seek to alleviate the consequences of white supremacy and colonialism—by treating their symptoms as historical inequities to be mitigated. Expansion treats the idealized white, middle-class, unrestrained citizen-consumer as a uninterrogated standard for the empowered social actor, and thus the social, cultural, and economic benefits of whiteness as public goods to be gradually expanded to non-white peoples. Such approaches to change are </w:t>
      </w:r>
      <w:r>
        <w:lastRenderedPageBreak/>
        <w:t xml:space="preserve">often framed by the premise of “gaps” in achievement and wealth to be narrowed. … it is that structure that must be transformed. … the actively accumulating cost of colonialism that accrues to racially othered bodies </w:t>
      </w:r>
      <w:proofErr w:type="gramStart"/>
      <w:r>
        <w:t>in order to</w:t>
      </w:r>
      <w:proofErr w:type="gramEnd"/>
      <w:r>
        <w:t xml:space="preserve"> produce (settler) white wealth and privilege.</w:t>
      </w:r>
    </w:p>
    <w:p w14:paraId="175AB9BB" w14:textId="77777777" w:rsidR="00076776" w:rsidRDefault="00000000">
      <w:r>
        <w:t xml:space="preserve">xv </w:t>
      </w:r>
      <w:r>
        <w:rPr>
          <w:b/>
        </w:rPr>
        <w:t>red pedagogy</w:t>
      </w:r>
      <w:r>
        <w:t xml:space="preserve">: Grande describes a “red pedagogy” as one that attends to decolonization in its material politics </w:t>
      </w:r>
      <w:proofErr w:type="gramStart"/>
      <w:r>
        <w:t>in order to</w:t>
      </w:r>
      <w:proofErr w:type="gramEnd"/>
      <w:r>
        <w:t xml:space="preserve"> recognize and nurture Indigenous practices of present and future change.</w:t>
      </w:r>
    </w:p>
    <w:p w14:paraId="0E9405B7" w14:textId="77777777" w:rsidR="00076776" w:rsidRDefault="00000000">
      <w:r>
        <w:t xml:space="preserve">xv </w:t>
      </w:r>
      <w:r>
        <w:rPr>
          <w:b/>
        </w:rPr>
        <w:t>Participatory Action Research (PAR)</w:t>
      </w:r>
      <w:r>
        <w:t>: describes one set of methodological approaches that attempts to accomplish this ground- and grassroots-knowledge production.</w:t>
      </w:r>
    </w:p>
    <w:p w14:paraId="5FABFB98" w14:textId="77777777" w:rsidR="00076776" w:rsidRDefault="00000000">
      <w:r>
        <w:t xml:space="preserve">xvi </w:t>
      </w:r>
      <w:r>
        <w:rPr>
          <w:b/>
        </w:rPr>
        <w:t>culturally sustaining practice</w:t>
      </w:r>
      <w:r>
        <w:t>: Django Paris (2012) proposes a need for a “change in stance, terminology and practice” beyond what is commonly called culturally responsive pedagogy to “culturally sustaining practice” (p. 93). Such a stance focuses not so much on the translation of schooling into culturally responsive materials for the purposes of achievement, but positions education as the vehicle for sustaining cultural knowledges that have otherwise been targeted for extinction.</w:t>
      </w:r>
    </w:p>
    <w:p w14:paraId="63DFE64F" w14:textId="77777777" w:rsidR="00076776" w:rsidRDefault="00076776"/>
    <w:p w14:paraId="1F935AB7" w14:textId="77777777" w:rsidR="00076776" w:rsidRDefault="00000000">
      <w:pPr>
        <w:pStyle w:val="Heading3"/>
      </w:pPr>
      <w:r>
        <w:t>Core quotes</w:t>
      </w:r>
    </w:p>
    <w:p w14:paraId="730BD52D" w14:textId="77777777" w:rsidR="00076776" w:rsidRDefault="00000000">
      <w:r>
        <w:t>xv @Acad@IK@SettState</w:t>
      </w:r>
    </w:p>
    <w:p w14:paraId="27FE101E" w14:textId="77777777" w:rsidR="00076776" w:rsidRDefault="00000000">
      <w:pPr>
        <w:ind w:left="720"/>
      </w:pPr>
      <w:r>
        <w:t>Grande observes that non-Indigenous revolutionary pedagogies fail to consider a fundamental difference between revolutionary democracies and Indigenous sovereignty (see also Brayboy, 2005).This difference is made evident in critical pedagogy’s frequent promotion of practices that foster an empowered critical citizenry for greater participation and integration in the nation-state (Morrell, 2008; Dewey, 1997), in contrast to Indigenous approaches that seek self-determination from a colonizing state (Smith, 2012; Grande, 2004; Brayboy, 2005; Abdi, 2011; Coulthard, 2014).</w:t>
      </w:r>
    </w:p>
    <w:p w14:paraId="58BD109C" w14:textId="77777777" w:rsidR="00076776" w:rsidRDefault="00076776"/>
    <w:p w14:paraId="683315F9" w14:textId="77777777" w:rsidR="00076776" w:rsidRDefault="00000000">
      <w:pPr>
        <w:rPr>
          <w:highlight w:val="green"/>
        </w:rPr>
      </w:pPr>
      <w:r>
        <w:rPr>
          <w:highlight w:val="green"/>
        </w:rPr>
        <w:t>xvi @Acad@IK@SettState@Other</w:t>
      </w:r>
    </w:p>
    <w:p w14:paraId="0ADEE17A" w14:textId="77777777" w:rsidR="00076776" w:rsidRDefault="00000000">
      <w:pPr>
        <w:ind w:left="720"/>
      </w:pPr>
      <w:r>
        <w:t xml:space="preserve">Decolonizing participatory research approaches make explicit how knowledge is territorialized (Simpson, 2007); namely, the university is settler colonial in its acquisitions of “data” on Indigenous and non-white communities (Tuck &amp; Yang, 2014), </w:t>
      </w:r>
      <w:r>
        <w:rPr>
          <w:b/>
        </w:rPr>
        <w:t>in its framing of these communities as pathologically Other</w:t>
      </w:r>
      <w:r>
        <w:t xml:space="preserve"> (Patel, 2013b), and in its theorizing of how change ought to happen to these communities (Tuck &amp;Yang, 2014).Thus the acquisitive ethics of research, the archives of data, and the theorizations are part of an academic knowledge territory. Decolonizing participatory methods draw limits to this territory by refusing to hand over anything and everything to the academic enterprise, by drawing attention to power’s code of ethics (Tuck &amp; Guishard, 2013), by re-presenting the taken-as-natural knowledge territories of Indigenous thought-worlds (Smith, 2012), and by “theorizing back” at power about its abuses in the guise of change (Smith, 2012; Guishard &amp; Tuck, 2014).</w:t>
      </w:r>
    </w:p>
    <w:p w14:paraId="237CCE01" w14:textId="77777777" w:rsidR="00076776" w:rsidRDefault="00076776"/>
    <w:p w14:paraId="05F7B730" w14:textId="77777777" w:rsidR="00076776" w:rsidRDefault="00000000">
      <w:pPr>
        <w:pStyle w:val="Heading3"/>
      </w:pPr>
      <w:r>
        <w:t>Notes</w:t>
      </w:r>
    </w:p>
    <w:p w14:paraId="0B3B501B" w14:textId="77777777" w:rsidR="00076776" w:rsidRDefault="00000000">
      <w:r>
        <w:t xml:space="preserve">@DissSource </w:t>
      </w:r>
    </w:p>
    <w:p w14:paraId="7D7CE0F7" w14:textId="77777777" w:rsidR="00076776" w:rsidRDefault="00000000">
      <w:r>
        <w:t xml:space="preserve">Journals: </w:t>
      </w:r>
    </w:p>
    <w:p w14:paraId="3ACF56AC" w14:textId="77777777" w:rsidR="00076776" w:rsidRDefault="00000000">
      <w:r>
        <w:t xml:space="preserve">In the past few years, several relevant journals have been founded, including Decolonization: </w:t>
      </w:r>
      <w:r>
        <w:rPr>
          <w:i/>
        </w:rPr>
        <w:t>Indigeneity, Education, and Society</w:t>
      </w:r>
      <w:r>
        <w:t xml:space="preserve"> (Open access, 2012), </w:t>
      </w:r>
      <w:r>
        <w:rPr>
          <w:i/>
        </w:rPr>
        <w:t>Settler Colonial Studies</w:t>
      </w:r>
      <w:r>
        <w:t xml:space="preserve"> (Open access now subscription, 2011), </w:t>
      </w:r>
      <w:r>
        <w:rPr>
          <w:i/>
        </w:rPr>
        <w:t>Critical Ethnic Studies</w:t>
      </w:r>
      <w:r>
        <w:t xml:space="preserve"> (subscription, 2013–2014), and </w:t>
      </w:r>
      <w:r>
        <w:rPr>
          <w:i/>
        </w:rPr>
        <w:t>Native American and Indigenous Studies</w:t>
      </w:r>
      <w:r>
        <w:t xml:space="preserve"> (subscription, 2013).</w:t>
      </w:r>
    </w:p>
    <w:p w14:paraId="3F3CD063" w14:textId="77777777" w:rsidR="00076776" w:rsidRDefault="00076776"/>
    <w:p w14:paraId="1B133FE2" w14:textId="77777777" w:rsidR="00076776" w:rsidRDefault="00000000">
      <w:pPr>
        <w:pStyle w:val="Heading2"/>
      </w:pPr>
      <w:r>
        <w:t>Chapter 14: Claxton &amp; Rodriguez, With Roots in the Water:  Revitalizing Straits Salish Reef Net Fishing as Education for Well-Being and Sustainability</w:t>
      </w:r>
    </w:p>
    <w:p w14:paraId="4C867361" w14:textId="77777777" w:rsidR="00076776" w:rsidRDefault="00076776"/>
    <w:p w14:paraId="5D052581" w14:textId="77777777" w:rsidR="00076776" w:rsidRDefault="00000000">
      <w:pPr>
        <w:pStyle w:val="Heading3"/>
      </w:pPr>
      <w:r>
        <w:t>Abstract</w:t>
      </w:r>
    </w:p>
    <w:p w14:paraId="297CBAD4" w14:textId="77777777" w:rsidR="00076776" w:rsidRDefault="00000000">
      <w:r>
        <w:t xml:space="preserve">Overview of the process, implementation, politics, and awesomeness of the reef-net fishery restoration work through the </w:t>
      </w:r>
      <w:proofErr w:type="gramStart"/>
      <w:r>
        <w:t>LÁU,WEL</w:t>
      </w:r>
      <w:proofErr w:type="gramEnd"/>
      <w:r>
        <w:t>,NEW Tribal school.</w:t>
      </w:r>
    </w:p>
    <w:p w14:paraId="31181F3F" w14:textId="77777777" w:rsidR="00076776" w:rsidRDefault="00076776"/>
    <w:p w14:paraId="057391A0" w14:textId="77777777" w:rsidR="00076776" w:rsidRDefault="00000000">
      <w:pPr>
        <w:pStyle w:val="Heading3"/>
      </w:pPr>
      <w:r>
        <w:t>Key words</w:t>
      </w:r>
    </w:p>
    <w:p w14:paraId="3DA66385" w14:textId="77777777" w:rsidR="00076776" w:rsidRDefault="00000000">
      <w:r>
        <w:t>Reef-net fishery, W̱SÁNEĆ Nation, ocean, environment, empowerment, Indigenous-settler relations, treaties, pedagogy</w:t>
      </w:r>
    </w:p>
    <w:p w14:paraId="3344A83A" w14:textId="77777777" w:rsidR="00076776" w:rsidRDefault="00076776"/>
    <w:p w14:paraId="6BF69AC6" w14:textId="77777777" w:rsidR="00076776" w:rsidRDefault="00000000">
      <w:pPr>
        <w:pStyle w:val="Heading3"/>
      </w:pPr>
      <w:r>
        <w:t>Essential quote</w:t>
      </w:r>
    </w:p>
    <w:p w14:paraId="6E9C98BC" w14:textId="77777777" w:rsidR="00076776" w:rsidRDefault="00000000">
      <w:r>
        <w:t>219 We are living in times of reconciliation where we aspire to create a shared future for Aboriginal and non-Aboriginal people. … We ought to heed the advice of elder Albert Marshall whose approach, called “Two Eyed Seeing,” invites us to include Indigenous knowledge within the curriculum so that Indigenous and non-Indigenous perspectives and knowledges be available to everyone, and thus benefit and enrich all peoples.</w:t>
      </w:r>
    </w:p>
    <w:p w14:paraId="089C596A" w14:textId="77777777" w:rsidR="00076776" w:rsidRDefault="00076776"/>
    <w:p w14:paraId="711EE762" w14:textId="77777777" w:rsidR="00076776" w:rsidRDefault="00076776"/>
    <w:p w14:paraId="499F9D6D" w14:textId="77777777" w:rsidR="00076776" w:rsidRDefault="00000000">
      <w:pPr>
        <w:pStyle w:val="Heading3"/>
      </w:pPr>
      <w:r>
        <w:t>Terms</w:t>
      </w:r>
    </w:p>
    <w:p w14:paraId="0B673DFC" w14:textId="77777777" w:rsidR="00076776" w:rsidRDefault="00000000">
      <w:r>
        <w:t xml:space="preserve">215 </w:t>
      </w:r>
      <w:r>
        <w:rPr>
          <w:b/>
        </w:rPr>
        <w:t>SXOLE</w:t>
      </w:r>
      <w:r>
        <w:t xml:space="preserve">: Reef Net Fishery. [216 This name both refers to the material with which the net was constructed (the inner bark of the Pacific Willow) and the net itself. The WSÁNEĆ utilized the Reef Net as the main method for salmon fishing (particularly Sockeye and Pink), which was conducted in the tidal waters of the Salish Sea rather than in rivers and streams. … consisted of a lead and a net. The lead of the Reef Net consisted of cedar log buoys, cedar ropes to form the sides and the floor of the </w:t>
      </w:r>
      <w:proofErr w:type="gramStart"/>
      <w:r>
        <w:t>lead, and</w:t>
      </w:r>
      <w:proofErr w:type="gramEnd"/>
      <w:r>
        <w:t xml:space="preserve"> specially made rock weights. Dune grass would be threaded through the twinning of the ropes that formed the floor and the sides, which would appear to the salmon as if they were </w:t>
      </w:r>
      <w:proofErr w:type="gramStart"/>
      <w:r>
        <w:t>actually swimming</w:t>
      </w:r>
      <w:proofErr w:type="gramEnd"/>
      <w:r>
        <w:t xml:space="preserve"> near the bottom. [217] The net was anchored in specific (hereditarily owned family) locations, usually at the mouth of a south-facing bay.</w:t>
      </w:r>
    </w:p>
    <w:p w14:paraId="12C1A8CB" w14:textId="77777777" w:rsidR="00076776" w:rsidRDefault="00000000">
      <w:r>
        <w:t xml:space="preserve">216 </w:t>
      </w:r>
      <w:r>
        <w:rPr>
          <w:b/>
        </w:rPr>
        <w:t>XÁLS</w:t>
      </w:r>
      <w:r>
        <w:t>: the Creator…</w:t>
      </w:r>
    </w:p>
    <w:p w14:paraId="2A7528B9" w14:textId="77777777" w:rsidR="00076776" w:rsidRDefault="00000000">
      <w:r>
        <w:t xml:space="preserve">217 </w:t>
      </w:r>
      <w:proofErr w:type="gramStart"/>
      <w:r>
        <w:rPr>
          <w:b/>
        </w:rPr>
        <w:t>place</w:t>
      </w:r>
      <w:proofErr w:type="gramEnd"/>
      <w:r>
        <w:t xml:space="preserve">: Within Western perspectives, place is represented through criteria established and agreed upon a priori (i.e., maps and scientific notions). Cajete says that </w:t>
      </w:r>
      <w:proofErr w:type="gramStart"/>
      <w:r>
        <w:t>in order to</w:t>
      </w:r>
      <w:proofErr w:type="gramEnd"/>
      <w:r>
        <w:t xml:space="preserve"> know any kind of physical landscape, one </w:t>
      </w:r>
      <w:proofErr w:type="gramStart"/>
      <w:r>
        <w:t>has to</w:t>
      </w:r>
      <w:proofErr w:type="gramEnd"/>
      <w:r>
        <w:t xml:space="preserve"> experience it.</w:t>
      </w:r>
    </w:p>
    <w:p w14:paraId="6BA804CA" w14:textId="77777777" w:rsidR="00076776" w:rsidRDefault="00000000">
      <w:pPr>
        <w:ind w:left="720"/>
      </w:pPr>
      <w:r>
        <w:t xml:space="preserve">Source: Cajete, G. (2000). “Indigenous knowledge: The Pueblo metaphor of indigenous education.” In M. Battiste (Ed.), </w:t>
      </w:r>
      <w:r>
        <w:rPr>
          <w:i/>
        </w:rPr>
        <w:t>Reclaiming indigenous voice and vision</w:t>
      </w:r>
      <w:r>
        <w:t xml:space="preserve"> (pp. 181–191). Vancouver, BC: UBC Press.</w:t>
      </w:r>
    </w:p>
    <w:p w14:paraId="27CCB371" w14:textId="77777777" w:rsidR="00076776" w:rsidRDefault="00000000">
      <w:r>
        <w:t xml:space="preserve">218 </w:t>
      </w:r>
      <w:r>
        <w:rPr>
          <w:b/>
        </w:rPr>
        <w:t>Aboriginal education</w:t>
      </w:r>
      <w:r>
        <w:t xml:space="preserve">: According to Cajete (2000), Aboriginal education should seek “to heal and transcend the effects of colonization” (p. 181). Further, Hampton (1995) suggests that Aboriginal education must address the issue of colonization </w:t>
      </w:r>
      <w:proofErr w:type="gramStart"/>
      <w:r>
        <w:t>in order to</w:t>
      </w:r>
      <w:proofErr w:type="gramEnd"/>
      <w:r>
        <w:t xml:space="preserve"> decolonize.</w:t>
      </w:r>
    </w:p>
    <w:p w14:paraId="730CCBD7" w14:textId="77777777" w:rsidR="00076776" w:rsidRDefault="00000000">
      <w:r>
        <w:rPr>
          <w:highlight w:val="green"/>
        </w:rPr>
        <w:t xml:space="preserve">219 </w:t>
      </w:r>
      <w:r>
        <w:rPr>
          <w:b/>
          <w:highlight w:val="green"/>
        </w:rPr>
        <w:t>Two Eyed Seeing</w:t>
      </w:r>
      <w:r>
        <w:t xml:space="preserve">: We are living in times of reconciliation where we aspire to create a shared future for Aboriginal and non-Aboriginal people. … We ought to heed the advice of elder </w:t>
      </w:r>
      <w:r>
        <w:rPr>
          <w:highlight w:val="magenta"/>
        </w:rPr>
        <w:lastRenderedPageBreak/>
        <w:t>Albert Marshall</w:t>
      </w:r>
      <w:r>
        <w:t xml:space="preserve"> whose approach, called “Two Eyed Seeing,” invites us to include Indigenous knowledge within the curriculum so that Indigenous and non-Indigenous perspectives and knowledges be available to everyone, and thus benefit and enrich all peoples.</w:t>
      </w:r>
    </w:p>
    <w:p w14:paraId="4CF4F67C" w14:textId="77777777" w:rsidR="00076776" w:rsidRDefault="00076776"/>
    <w:p w14:paraId="6CA0C4CB" w14:textId="77777777" w:rsidR="00076776" w:rsidRDefault="00000000">
      <w:pPr>
        <w:pStyle w:val="Heading3"/>
      </w:pPr>
      <w:r>
        <w:t>Core quotes</w:t>
      </w:r>
    </w:p>
    <w:p w14:paraId="6EAA801A" w14:textId="77777777" w:rsidR="00076776" w:rsidRDefault="00076776"/>
    <w:p w14:paraId="1E0155EA" w14:textId="77777777" w:rsidR="00076776" w:rsidRDefault="00000000">
      <w:r>
        <w:t>216 @Eco@SpacePlace@IR@IndHist</w:t>
      </w:r>
    </w:p>
    <w:p w14:paraId="3449BE36" w14:textId="77777777" w:rsidR="00076776" w:rsidRDefault="00000000">
      <w:pPr>
        <w:ind w:left="720"/>
      </w:pPr>
      <w:r>
        <w:t xml:space="preserve">This fishing method was unique to the Straits Salish </w:t>
      </w:r>
      <w:proofErr w:type="gramStart"/>
      <w:r>
        <w:t>People, and</w:t>
      </w:r>
      <w:proofErr w:type="gramEnd"/>
      <w:r>
        <w:t xml:space="preserve"> practiced in what is now known as the Salish Sea (the waters in and around the Southern Gulf Islands and the San Juan Islands).</w:t>
      </w:r>
    </w:p>
    <w:p w14:paraId="0C12ED0B" w14:textId="77777777" w:rsidR="00076776" w:rsidRDefault="00076776"/>
    <w:p w14:paraId="4D1C8727" w14:textId="77777777" w:rsidR="00076776" w:rsidRDefault="00000000">
      <w:r>
        <w:t xml:space="preserve">217 </w:t>
      </w:r>
    </w:p>
    <w:p w14:paraId="5A79B9EF" w14:textId="77777777" w:rsidR="00076776" w:rsidRDefault="00000000">
      <w:pPr>
        <w:ind w:left="720"/>
      </w:pPr>
      <w:r>
        <w:t>Simply put, the SXOLE, or Reef Net Fishery formed the core of the WSÁNEĆ traditional society, including the core of the WSÁNEĆ traditional educational system or way, which fostered a deep knowledge, connection, beliefs of the people to the salmon and to the lands and waters.</w:t>
      </w:r>
    </w:p>
    <w:p w14:paraId="0ADEECB4" w14:textId="77777777" w:rsidR="00076776" w:rsidRDefault="00076776"/>
    <w:p w14:paraId="252B77EE" w14:textId="77777777" w:rsidR="00076776" w:rsidRDefault="00000000">
      <w:r>
        <w:t>218 @Treaty@ISr@Border@SettState</w:t>
      </w:r>
    </w:p>
    <w:p w14:paraId="0FA4A454" w14:textId="77777777" w:rsidR="00076776" w:rsidRDefault="00000000">
      <w:pPr>
        <w:ind w:left="720"/>
      </w:pPr>
      <w:r>
        <w:rPr>
          <w:highlight w:val="magenta"/>
        </w:rPr>
        <w:t>Elliott</w:t>
      </w:r>
      <w:r>
        <w:t xml:space="preserve"> says there were no boundaries among people until 1856 when an international boundary was established by the Treaty of Washington, and later when the territories were separated due to the treaty with the Hudson Bay Company. // In 1852, the WSÁNEĆ signed a treaty with then-Governor of Vancouver Island Sir James Douglas. From the WSÁNEĆ people’s perspective, this treaty was an agreement between the two nations. Also, the Douglas Treaty states that the Saanich People were entitled to “carry on their fisheries as formerly,” a sustainable practice that formed the foundation for the WSÁNEĆ identity and way of Island Sir James Douglas. From the WSÁNEĆ people’s perspective, this treaty was life as a nation.</w:t>
      </w:r>
    </w:p>
    <w:p w14:paraId="3A40ED34" w14:textId="77777777" w:rsidR="00076776" w:rsidRDefault="00076776"/>
    <w:p w14:paraId="67D8B0B1" w14:textId="77777777" w:rsidR="00076776" w:rsidRDefault="00000000">
      <w:r>
        <w:t>@</w:t>
      </w:r>
      <w:proofErr w:type="gramStart"/>
      <w:r>
        <w:t>L?@</w:t>
      </w:r>
      <w:proofErr w:type="gramEnd"/>
      <w:r>
        <w:t>SpacePlace@SettState</w:t>
      </w:r>
    </w:p>
    <w:p w14:paraId="7EFF571B" w14:textId="77777777" w:rsidR="00076776" w:rsidRDefault="00000000">
      <w:pPr>
        <w:ind w:left="720"/>
      </w:pPr>
      <w:r>
        <w:t>Colonization brought along new ways of thinking and being, new ways of reading the land (a pragmatic view based on economic development and gain), and new ways of organizing knowledge. Colonization also robbed people of their physical space, their livelihood, their sustenance, and their organized cultural ways that formed the bases of their existence. … Learning was no longer aimed at gaining knowledge for life.</w:t>
      </w:r>
    </w:p>
    <w:p w14:paraId="24BD9ABA" w14:textId="77777777" w:rsidR="00076776" w:rsidRDefault="00076776"/>
    <w:p w14:paraId="18E5850C" w14:textId="77777777" w:rsidR="00076776" w:rsidRDefault="00000000">
      <w:r>
        <w:t>221 SpacePlace@</w:t>
      </w:r>
      <w:proofErr w:type="gramStart"/>
      <w:r>
        <w:t>L?@</w:t>
      </w:r>
      <w:proofErr w:type="spellStart"/>
      <w:proofErr w:type="gramEnd"/>
      <w:r>
        <w:t>FFessay</w:t>
      </w:r>
      <w:proofErr w:type="spellEnd"/>
    </w:p>
    <w:p w14:paraId="382DEF08" w14:textId="77777777" w:rsidR="00076776" w:rsidRDefault="00000000">
      <w:pPr>
        <w:ind w:left="720"/>
      </w:pPr>
      <w:r>
        <w:t xml:space="preserve">We concur with </w:t>
      </w:r>
      <w:r>
        <w:rPr>
          <w:highlight w:val="magenta"/>
        </w:rPr>
        <w:t>Basso</w:t>
      </w:r>
      <w:r>
        <w:t xml:space="preserve"> (1996) when he says that dwelling consists of the “multiple ‘lived relationships’ that people maintain with places, for it is solely by virtue of these relationships that space acquires meaning” (p. 54).</w:t>
      </w:r>
    </w:p>
    <w:p w14:paraId="5537DF4B" w14:textId="77777777" w:rsidR="00076776" w:rsidRDefault="00076776">
      <w:pPr>
        <w:ind w:left="720"/>
      </w:pPr>
    </w:p>
    <w:p w14:paraId="5B7E34D5" w14:textId="77777777" w:rsidR="00076776" w:rsidRDefault="00000000">
      <w:pPr>
        <w:ind w:left="1440"/>
      </w:pPr>
      <w:r>
        <w:t>Source: Basso, K. (1996</w:t>
      </w:r>
      <w:proofErr w:type="gramStart"/>
      <w:r>
        <w:t>).Wisdom</w:t>
      </w:r>
      <w:proofErr w:type="gramEnd"/>
      <w:r>
        <w:t xml:space="preserve"> sits in places: Notes on a Western Apache landscape. In S. Feld &amp; K. Basso (Eds.), </w:t>
      </w:r>
      <w:r>
        <w:rPr>
          <w:i/>
        </w:rPr>
        <w:t>Senses of place</w:t>
      </w:r>
      <w:r>
        <w:t xml:space="preserve"> (pp. 13–52). Santa Fe, NM: School of American Research Press.</w:t>
      </w:r>
    </w:p>
    <w:p w14:paraId="13BDC17F" w14:textId="77777777" w:rsidR="00076776" w:rsidRDefault="00076776"/>
    <w:p w14:paraId="71B4F11C" w14:textId="77777777" w:rsidR="00076776" w:rsidRDefault="00000000">
      <w:r>
        <w:t>@Epistem@IK@ISr@Acad@FFessay</w:t>
      </w:r>
    </w:p>
    <w:p w14:paraId="4592C66B" w14:textId="77777777" w:rsidR="00076776" w:rsidRDefault="00000000">
      <w:pPr>
        <w:ind w:left="720"/>
      </w:pPr>
      <w:r>
        <w:lastRenderedPageBreak/>
        <w:t xml:space="preserve">This project is an excellent example of how the First Peoples Principle of Learning can be explored and lived by Aboriginal and non-Aboriginal teachers, students, and community members. Among the nine principles, we found the following to best represent the learning that had taken place </w:t>
      </w:r>
      <w:proofErr w:type="gramStart"/>
      <w:r>
        <w:t>as a result of</w:t>
      </w:r>
      <w:proofErr w:type="gramEnd"/>
      <w:r>
        <w:t xml:space="preserve"> participating in the project:</w:t>
      </w:r>
    </w:p>
    <w:p w14:paraId="2AD2CB77" w14:textId="77777777" w:rsidR="00076776" w:rsidRDefault="00076776"/>
    <w:p w14:paraId="73D470D7" w14:textId="77777777" w:rsidR="00076776" w:rsidRDefault="00000000">
      <w:pPr>
        <w:ind w:left="1440"/>
      </w:pPr>
      <w:r>
        <w:t>Learning supports the well-being of the self, the family, the community, the land, the spirits, and the ancestors;</w:t>
      </w:r>
    </w:p>
    <w:p w14:paraId="37F9D56D" w14:textId="77777777" w:rsidR="00076776" w:rsidRDefault="00000000">
      <w:pPr>
        <w:ind w:left="1440"/>
      </w:pPr>
      <w:r>
        <w:t>Learning is holistic, reflexive, reflective, experiential, and relational (focused on connectedness, on reciprocal relationships, and a sense of place);</w:t>
      </w:r>
    </w:p>
    <w:p w14:paraId="067D910A" w14:textId="77777777" w:rsidR="00076776" w:rsidRDefault="00000000">
      <w:pPr>
        <w:ind w:left="1440"/>
      </w:pPr>
      <w:r>
        <w:t xml:space="preserve">[222] Learning involves generational roles and responsibilities; </w:t>
      </w:r>
    </w:p>
    <w:p w14:paraId="1A31E954" w14:textId="77777777" w:rsidR="00076776" w:rsidRDefault="00000000">
      <w:pPr>
        <w:ind w:left="1440"/>
      </w:pPr>
      <w:r>
        <w:t xml:space="preserve">Learning recognizes the role of Indigenous knowledge; </w:t>
      </w:r>
    </w:p>
    <w:p w14:paraId="07D0F3F1" w14:textId="77777777" w:rsidR="00076776" w:rsidRDefault="00000000">
      <w:pPr>
        <w:ind w:left="1440"/>
      </w:pPr>
      <w:r>
        <w:t xml:space="preserve">Learning is embedded in memory, history, and story. </w:t>
      </w:r>
    </w:p>
    <w:p w14:paraId="762B0F68" w14:textId="77777777" w:rsidR="00076776" w:rsidRDefault="00000000">
      <w:pPr>
        <w:ind w:left="1440"/>
      </w:pPr>
      <w:r>
        <w:t>Learning involves patience and time.</w:t>
      </w:r>
    </w:p>
    <w:p w14:paraId="6CFB0516" w14:textId="77777777" w:rsidR="00076776" w:rsidRDefault="00076776"/>
    <w:p w14:paraId="74FF0404" w14:textId="77777777" w:rsidR="00076776" w:rsidRDefault="00000000">
      <w:pPr>
        <w:pStyle w:val="Heading3"/>
      </w:pPr>
      <w:r>
        <w:t>Secondary quotes</w:t>
      </w:r>
    </w:p>
    <w:p w14:paraId="764A045D" w14:textId="77777777" w:rsidR="00076776" w:rsidRDefault="00000000">
      <w:r>
        <w:t xml:space="preserve">215 … five surrounding First Nations communities: </w:t>
      </w:r>
      <w:proofErr w:type="spellStart"/>
      <w:r>
        <w:t>Tsarlip</w:t>
      </w:r>
      <w:proofErr w:type="spellEnd"/>
      <w:r>
        <w:t xml:space="preserve">, Tsawout, Tseycum, Malahat, and Pauquachin. / 217 While it is important to acknowledge that Aboriginal communities are diverse and are immersed in beliefs, traditions, languages, and practices that differ, it is also important to remember that there are shared cosmologies, values, and ways of doing and being that are similar among nations. / 218 Elliot: … accomplished fisherman: “those people were the equivalent to today’s engineers, because they understood the tide, the wind, stress strength of the ropes. How much material would stand that strong tide, that strong wind?” (p. 56) / 219 </w:t>
      </w:r>
      <w:r>
        <w:rPr>
          <w:highlight w:val="magenta"/>
        </w:rPr>
        <w:t>Senator Sinclair</w:t>
      </w:r>
      <w:r>
        <w:t xml:space="preserve">, the Chair of the </w:t>
      </w:r>
      <w:r>
        <w:rPr>
          <w:b/>
        </w:rPr>
        <w:t>Truth and Reconciliation Commission</w:t>
      </w:r>
      <w:r>
        <w:t xml:space="preserve">, has “invited” us all as Canadian citizens to explore ways in which, together, Aboriginal and non-Aboriginal people can create paths for a shared future. / 219 @SettState@Treaty While it restores the traditional governance system, it can also restore the foundation in which the Saanich people can interact with the settler state. By honoring the traditional practice that is protected by the treaty … </w:t>
      </w:r>
    </w:p>
    <w:p w14:paraId="109647D1" w14:textId="77777777" w:rsidR="00076776" w:rsidRDefault="00076776"/>
    <w:p w14:paraId="704DE348" w14:textId="77777777" w:rsidR="00076776" w:rsidRDefault="00076776"/>
    <w:p w14:paraId="7715307F" w14:textId="77777777" w:rsidR="00076776" w:rsidRDefault="00000000">
      <w:pPr>
        <w:pStyle w:val="Heading3"/>
      </w:pPr>
      <w:r>
        <w:t>Notes</w:t>
      </w:r>
    </w:p>
    <w:p w14:paraId="02F27532" w14:textId="77777777" w:rsidR="00076776" w:rsidRDefault="00076776"/>
    <w:p w14:paraId="2A86B8C9" w14:textId="77777777" w:rsidR="00076776" w:rsidRDefault="00000000">
      <w:r>
        <w:t>@Diss?</w:t>
      </w:r>
    </w:p>
    <w:p w14:paraId="0D6BC4A7" w14:textId="77777777" w:rsidR="00076776" w:rsidRDefault="00000000">
      <w:r>
        <w:t xml:space="preserve">I like the way that Claxton frames the relationship s between treaty, place, education, and a shared sense of Indigenous-settler relations in all. Claxton does not acquiesce to the settler state, either. </w:t>
      </w:r>
      <w:proofErr w:type="gramStart"/>
      <w:r>
        <w:t>Instead</w:t>
      </w:r>
      <w:proofErr w:type="gramEnd"/>
      <w:r>
        <w:t xml:space="preserve"> he asserts the need to the fishery’s reintroduction as a way toward the TRC’s aspirations for “reconciliation,” which I leave in quotes to indicate the contestability of this term. </w:t>
      </w:r>
    </w:p>
    <w:p w14:paraId="7A63E5AC" w14:textId="77777777" w:rsidR="00076776" w:rsidRDefault="00076776"/>
    <w:p w14:paraId="656F01BA" w14:textId="77777777" w:rsidR="00076776" w:rsidRDefault="00000000">
      <w:r>
        <w:t xml:space="preserve">How to cite Saltwater People: </w:t>
      </w:r>
    </w:p>
    <w:p w14:paraId="6EA21B5A" w14:textId="77777777" w:rsidR="00076776" w:rsidRDefault="00076776"/>
    <w:p w14:paraId="5C004348" w14:textId="77777777" w:rsidR="00076776" w:rsidRDefault="00000000">
      <w:r>
        <w:t xml:space="preserve">Elliott, D. Sr. (1990). </w:t>
      </w:r>
      <w:r>
        <w:rPr>
          <w:i/>
        </w:rPr>
        <w:t>Saltwater People</w:t>
      </w:r>
      <w:r>
        <w:t xml:space="preserve">, as told by Dave Elliott Sr.: A resource book for the Saanich native studies program. In J. </w:t>
      </w:r>
      <w:proofErr w:type="spellStart"/>
      <w:r>
        <w:t>Poth</w:t>
      </w:r>
      <w:proofErr w:type="spellEnd"/>
      <w:r>
        <w:t xml:space="preserve"> (Ed.), Saanichton, BC: School District 63 (Saanich).</w:t>
      </w:r>
    </w:p>
    <w:p w14:paraId="1121F71A" w14:textId="77777777" w:rsidR="00076776" w:rsidRDefault="00076776"/>
    <w:p w14:paraId="5F116108" w14:textId="77777777" w:rsidR="00076776" w:rsidRDefault="00000000">
      <w:r>
        <w:t>@DissSource</w:t>
      </w:r>
    </w:p>
    <w:p w14:paraId="38C45FC6" w14:textId="77777777" w:rsidR="00076776" w:rsidRDefault="00000000">
      <w:r>
        <w:t>Basso, K. (1996</w:t>
      </w:r>
      <w:proofErr w:type="gramStart"/>
      <w:r>
        <w:t>).Wisdom</w:t>
      </w:r>
      <w:proofErr w:type="gramEnd"/>
      <w:r>
        <w:t xml:space="preserve"> sits in places: Notes on a Western Apache landscape. In S. Feld &amp; K. Basso (Eds.), </w:t>
      </w:r>
      <w:r>
        <w:rPr>
          <w:i/>
        </w:rPr>
        <w:t>Senses of place</w:t>
      </w:r>
      <w:r>
        <w:t xml:space="preserve"> (pp. 13–52). Santa Fe, NM: School of American Research Press.</w:t>
      </w:r>
    </w:p>
    <w:p w14:paraId="609B1009" w14:textId="77777777" w:rsidR="00076776" w:rsidRDefault="00076776"/>
    <w:p w14:paraId="37C312B2" w14:textId="77777777" w:rsidR="00076776" w:rsidRDefault="00076776"/>
    <w:p w14:paraId="51B0FFF1" w14:textId="77777777" w:rsidR="00076776" w:rsidRDefault="00000000">
      <w:pPr>
        <w:pStyle w:val="Heading2"/>
      </w:pPr>
      <w:r>
        <w:t>Chapter 10: Gaudry &amp; Lorenz, Decolonization for the Masses:</w:t>
      </w:r>
    </w:p>
    <w:p w14:paraId="0E57B31F" w14:textId="77777777" w:rsidR="00076776" w:rsidRDefault="00000000">
      <w:pPr>
        <w:pStyle w:val="Heading2"/>
      </w:pPr>
      <w:r>
        <w:t>Grappling With Indigenous Content Requirements in the Changing Canadian Post-Secondary Environment</w:t>
      </w:r>
    </w:p>
    <w:p w14:paraId="557F5552" w14:textId="77777777" w:rsidR="00076776" w:rsidRDefault="00076776"/>
    <w:p w14:paraId="10F91950" w14:textId="77777777" w:rsidR="00076776" w:rsidRDefault="00000000">
      <w:r>
        <w:t xml:space="preserve">No formal sections for this one, but I wanted to touch on it with the option to return to it, later. It touches on some the issues that Rob H and I have discussed over the years. So, for now, just some quotes that caught my eye… </w:t>
      </w:r>
    </w:p>
    <w:p w14:paraId="3F4CC277" w14:textId="77777777" w:rsidR="00076776" w:rsidRDefault="00076776"/>
    <w:p w14:paraId="7ECD361A" w14:textId="77777777" w:rsidR="00076776" w:rsidRDefault="00000000">
      <w:pPr>
        <w:pStyle w:val="Heading3"/>
      </w:pPr>
      <w:r>
        <w:t>Abstract</w:t>
      </w:r>
    </w:p>
    <w:p w14:paraId="21A192B6" w14:textId="77777777" w:rsidR="00076776" w:rsidRDefault="00000000">
      <w:r>
        <w:t xml:space="preserve">Looks at the current state of </w:t>
      </w:r>
      <w:proofErr w:type="gramStart"/>
      <w:r>
        <w:t>IRC’s</w:t>
      </w:r>
      <w:proofErr w:type="gramEnd"/>
      <w:r>
        <w:t xml:space="preserve"> in a university context: “This chapter presents a synthesis of the debate around ICRs as discussed by those who teach them” (160).</w:t>
      </w:r>
    </w:p>
    <w:p w14:paraId="4E860EFB" w14:textId="77777777" w:rsidR="00076776" w:rsidRDefault="00076776"/>
    <w:p w14:paraId="07F99C3D" w14:textId="77777777" w:rsidR="00076776" w:rsidRDefault="00000000">
      <w:r>
        <w:t>160</w:t>
      </w:r>
    </w:p>
    <w:p w14:paraId="0DEB769A" w14:textId="77777777" w:rsidR="00076776" w:rsidRDefault="00000000">
      <w:pPr>
        <w:ind w:left="720"/>
      </w:pPr>
      <w:r>
        <w:rPr>
          <w:b/>
        </w:rPr>
        <w:t>Indigenous course requirements</w:t>
      </w:r>
      <w:r>
        <w:t xml:space="preserve"> (ICRs). ICRs are a mandated program or requirements that necessitate students complete a prescribed amount of content focused on Indigenous peoples.</w:t>
      </w:r>
    </w:p>
    <w:p w14:paraId="1D31AC64" w14:textId="77777777" w:rsidR="00076776" w:rsidRDefault="00076776"/>
    <w:p w14:paraId="15AF45E2" w14:textId="77777777" w:rsidR="00076776" w:rsidRDefault="00000000">
      <w:pPr>
        <w:ind w:left="720"/>
      </w:pPr>
      <w:r>
        <w:t>… discussions on required Indigenous content for all students enrolled at particular universities, regardless of the form that that may take, is a new conversation that has posed new problems and could, some argue, profoundly transform how Canadians understand Indigenous-Canada relations, if properly executed (Gaudry, 2016; Pete, 2016).</w:t>
      </w:r>
    </w:p>
    <w:p w14:paraId="0018A282" w14:textId="77777777" w:rsidR="00076776" w:rsidRDefault="00076776">
      <w:pPr>
        <w:ind w:left="720"/>
      </w:pPr>
    </w:p>
    <w:p w14:paraId="4C1EF991" w14:textId="77777777" w:rsidR="00076776" w:rsidRDefault="00000000">
      <w:pPr>
        <w:ind w:left="720"/>
      </w:pPr>
      <w:r>
        <w:t>We surveyed Canadian faculty, university administrators, graduate students, and instructors on university Indigenizing strategies via an anonymous online survey, asking respondents to discuss the purposes of ICRs and Indigenization initiatives more broadly.</w:t>
      </w:r>
    </w:p>
    <w:p w14:paraId="5B590D30" w14:textId="77777777" w:rsidR="00076776" w:rsidRDefault="00076776"/>
    <w:p w14:paraId="025BC5EE" w14:textId="77777777" w:rsidR="00076776" w:rsidRDefault="00000000">
      <w:r>
        <w:t xml:space="preserve">162-63 </w:t>
      </w:r>
    </w:p>
    <w:p w14:paraId="15C4E69F" w14:textId="77777777" w:rsidR="00076776" w:rsidRDefault="00000000">
      <w:pPr>
        <w:ind w:left="720"/>
      </w:pPr>
      <w:r>
        <w:rPr>
          <w:highlight w:val="magenta"/>
        </w:rPr>
        <w:t>Rauna Kuokkanen</w:t>
      </w:r>
      <w:r>
        <w:t xml:space="preserve">, in a widely circulated blog post on </w:t>
      </w:r>
      <w:r>
        <w:rPr>
          <w:i/>
        </w:rPr>
        <w:t>Rabble</w:t>
      </w:r>
      <w:r>
        <w:t>, cautions us that the shift to ICRs is not the ideal centerpiece policy as we move to Indigenize the academy. Indigenous intellectuals, she argues, are “selling ourselves short” because “mandatory courses are an easy way out” (2016, para. 2). The academy, Kuokkanen argues, has shown an</w:t>
      </w:r>
    </w:p>
    <w:p w14:paraId="3DD02D38" w14:textId="77777777" w:rsidR="00076776" w:rsidRDefault="00000000">
      <w:pPr>
        <w:ind w:left="1440"/>
      </w:pPr>
      <w:r>
        <w:t>obstinate refusal . . . to go beyond relatively shallow changes in the curriculum to address its academic practices and discourses that enable continued exclusion of other than dominant Western epistemic and intellectual traditions. … Will mandatory courses be an end to themselves? Is their objective merely to ensure a disengaged multicultural appreciation of “the other” and colonial containment</w:t>
      </w:r>
      <w:proofErr w:type="gramStart"/>
      <w:r>
        <w:t>. . . ?</w:t>
      </w:r>
      <w:proofErr w:type="gramEnd"/>
      <w:r>
        <w:t xml:space="preserve"> Or will complex and demanding issues such as settler colonialism, land rights, dispossession, state violence, heteropatriarchy, racism and sexism form the core of the curriculum?</w:t>
      </w:r>
    </w:p>
    <w:p w14:paraId="76638473" w14:textId="77777777" w:rsidR="00076776" w:rsidRDefault="00000000">
      <w:r>
        <w:t xml:space="preserve">172 </w:t>
      </w:r>
    </w:p>
    <w:p w14:paraId="62DD1813" w14:textId="77777777" w:rsidR="00076776" w:rsidRDefault="00000000">
      <w:pPr>
        <w:ind w:left="720"/>
      </w:pPr>
      <w:r>
        <w:lastRenderedPageBreak/>
        <w:t xml:space="preserve">… the biggest practical concern that comes with implementing ICRs is that there are simply not enough Indigenous peoples who can do the work in an equitable way. Whether settlers are adequately trained in the academic areas of study and </w:t>
      </w:r>
      <w:proofErr w:type="gramStart"/>
      <w:r>
        <w:t>are able to</w:t>
      </w:r>
      <w:proofErr w:type="gramEnd"/>
      <w:r>
        <w:t xml:space="preserve"> teach the content in an equitable way—that is, thoroughly understanding anti-oppression pedagogy—is another matter.</w:t>
      </w:r>
    </w:p>
    <w:p w14:paraId="56F18B1C" w14:textId="77777777" w:rsidR="00076776" w:rsidRDefault="00076776">
      <w:pPr>
        <w:ind w:left="720"/>
      </w:pPr>
    </w:p>
    <w:p w14:paraId="0B7294D4" w14:textId="77777777" w:rsidR="00076776" w:rsidRDefault="00000000">
      <w:pPr>
        <w:ind w:left="720"/>
      </w:pPr>
      <w:r>
        <w:t>The point is that, if we’re going to do this, we need to do it collaboratively and with the support of the highest levels of administration. If half-baked programming is implemented or if programs are rushed before there’s adequate capacity to deliver them, ICRs are not going to work.</w:t>
      </w:r>
    </w:p>
    <w:p w14:paraId="45C452D2" w14:textId="77777777" w:rsidR="00076776" w:rsidRDefault="00076776">
      <w:pPr>
        <w:ind w:left="720"/>
      </w:pPr>
    </w:p>
    <w:p w14:paraId="17AA18E9" w14:textId="77777777" w:rsidR="00076776" w:rsidRDefault="00000000">
      <w:pPr>
        <w:ind w:left="720"/>
      </w:pPr>
      <w:r>
        <w:t>As we’ve already noted, we’re at a time where post-secondary institutions have grabbed onto the TRC’s Calls to Action (2015) and we’re in a moment in time where change is possible. We now need to decide what kind of change that will be. Will it be superficial, mostly rhetorical change? Or will we finally begin the long process of transformative actions that right the perpetual wrongs done to Indigenous peoples by Canadians? ICRs certainly aren’t going to change the world, but they may lay the foundation for a different kind of discussion and a different kind of relationship between Indigenous peoples and Canadians outside of the classroom.</w:t>
      </w:r>
    </w:p>
    <w:p w14:paraId="738A5538" w14:textId="77777777" w:rsidR="00076776" w:rsidRDefault="00000000">
      <w:pPr>
        <w:pStyle w:val="Heading1"/>
      </w:pPr>
      <w:bookmarkStart w:id="25" w:name="_heading=h.3whwml4" w:colFirst="0" w:colLast="0"/>
      <w:bookmarkEnd w:id="25"/>
      <w:r>
        <w:t xml:space="preserve">(2018) </w:t>
      </w:r>
      <w:proofErr w:type="spellStart"/>
      <w:r>
        <w:t>Wemigwans</w:t>
      </w:r>
      <w:proofErr w:type="spellEnd"/>
      <w:r>
        <w:t xml:space="preserve">, </w:t>
      </w:r>
      <w:r>
        <w:rPr>
          <w:i/>
        </w:rPr>
        <w:t>A Digital Bundle</w:t>
      </w:r>
    </w:p>
    <w:p w14:paraId="1CF4367D" w14:textId="77777777" w:rsidR="00076776" w:rsidRDefault="00076776"/>
    <w:p w14:paraId="5FDB1786" w14:textId="77777777" w:rsidR="00076776" w:rsidRDefault="00000000">
      <w:pPr>
        <w:pStyle w:val="Heading2"/>
      </w:pPr>
      <w:r>
        <w:t>Abstract</w:t>
      </w:r>
    </w:p>
    <w:p w14:paraId="73225FC5" w14:textId="77777777" w:rsidR="00076776" w:rsidRDefault="00000000">
      <w:r>
        <w:t>A collection of interviews and critical reflections speaks to Indigenous Knowledge online, and its socio-cultural effects, and how information communication technology (ICT) affects relationships among diverse Indigenous Peoples and the flow of power between Indigenous Peoples and the state.</w:t>
      </w:r>
    </w:p>
    <w:p w14:paraId="08C0FE95" w14:textId="77777777" w:rsidR="00076776" w:rsidRDefault="00076776"/>
    <w:p w14:paraId="6EF350E6" w14:textId="77777777" w:rsidR="00076776" w:rsidRDefault="00000000">
      <w:pPr>
        <w:pStyle w:val="Heading2"/>
      </w:pPr>
      <w:r>
        <w:t>Key words</w:t>
      </w:r>
    </w:p>
    <w:p w14:paraId="07737F4B" w14:textId="77777777" w:rsidR="00076776" w:rsidRDefault="00000000">
      <w:r>
        <w:t>Internet, Indigenous resurgence, Knowledge Keepers and Elders, knowledge production, media, activism, settler state</w:t>
      </w:r>
    </w:p>
    <w:p w14:paraId="74E71DC2" w14:textId="77777777" w:rsidR="00076776" w:rsidRDefault="00076776"/>
    <w:p w14:paraId="616DA08C" w14:textId="77777777" w:rsidR="00076776" w:rsidRDefault="00000000">
      <w:pPr>
        <w:pStyle w:val="Heading2"/>
      </w:pPr>
      <w:r>
        <w:t>Essential quote</w:t>
      </w:r>
    </w:p>
    <w:p w14:paraId="45B50B7A" w14:textId="77777777" w:rsidR="00076776" w:rsidRDefault="00000000">
      <w:r>
        <w:t>39:  … we need to think of Indigenous Knowledge projects online as a unique genre.</w:t>
      </w:r>
    </w:p>
    <w:p w14:paraId="4D862162" w14:textId="77777777" w:rsidR="00076776" w:rsidRDefault="00076776"/>
    <w:p w14:paraId="2DBB932E" w14:textId="77777777" w:rsidR="00076776" w:rsidRDefault="00000000">
      <w:pPr>
        <w:pStyle w:val="Heading2"/>
      </w:pPr>
      <w:r>
        <w:t>Terms</w:t>
      </w:r>
    </w:p>
    <w:p w14:paraId="100A18BE" w14:textId="77777777" w:rsidR="00076776" w:rsidRDefault="00000000">
      <w:r>
        <w:t xml:space="preserve">8: </w:t>
      </w:r>
      <w:r>
        <w:rPr>
          <w:b/>
        </w:rPr>
        <w:t>fourth world theory</w:t>
      </w:r>
      <w:r>
        <w:t xml:space="preserve">: [@DECOL] Indigenous resurgence is connected to Indigenous Knowledge and is acknowledged by writers such as </w:t>
      </w:r>
      <w:r>
        <w:rPr>
          <w:highlight w:val="magenta"/>
        </w:rPr>
        <w:t>Leanne Simpson</w:t>
      </w:r>
      <w:r>
        <w:t xml:space="preserve"> who are bringing forward “fourth world theory—theories, strategies and analysis strongly [9] rooted in the values, knowledge and philosophies of Indigenous Nations” (Corntassel &amp; Spak, 2010, 135).</w:t>
      </w:r>
    </w:p>
    <w:p w14:paraId="6E63DA02" w14:textId="77777777" w:rsidR="00076776" w:rsidRDefault="00000000">
      <w:r>
        <w:t xml:space="preserve">9: </w:t>
      </w:r>
      <w:r>
        <w:rPr>
          <w:b/>
        </w:rPr>
        <w:t>knowledge production</w:t>
      </w:r>
      <w:r>
        <w:t xml:space="preserve">: … refers to the technical production, or really the reproduction, of </w:t>
      </w:r>
      <w:r>
        <w:rPr>
          <w:i/>
        </w:rPr>
        <w:t>aspects of long-existing Indigenous Knowledge in new formats and in relation to new contexts—</w:t>
      </w:r>
      <w:r>
        <w:t xml:space="preserve">in the sense of assembling, representing, and creatively configuring this pre-existing knowledge </w:t>
      </w:r>
      <w:r>
        <w:lastRenderedPageBreak/>
        <w:t xml:space="preserve">but certainly not of creating it. I perceive </w:t>
      </w:r>
      <w:r>
        <w:rPr>
          <w:b/>
        </w:rPr>
        <w:t>Indigenous Knowledge in two distinct forms</w:t>
      </w:r>
      <w:r>
        <w:t>: sacred teachings and personal knowledge.</w:t>
      </w:r>
    </w:p>
    <w:p w14:paraId="07AF6648" w14:textId="77777777" w:rsidR="00076776" w:rsidRDefault="00000000">
      <w:pPr>
        <w:ind w:left="720"/>
      </w:pPr>
      <w:r>
        <w:t xml:space="preserve">10: </w:t>
      </w:r>
      <w:r>
        <w:rPr>
          <w:b/>
        </w:rPr>
        <w:t>sacred teachings</w:t>
      </w:r>
      <w:r>
        <w:t xml:space="preserve">: Sacred teachings consist of Traditional Knowledge passed on through </w:t>
      </w:r>
      <w:r>
        <w:rPr>
          <w:i/>
        </w:rPr>
        <w:t>ceremonial protocols</w:t>
      </w:r>
      <w:r>
        <w:t xml:space="preserve">. Only Elders and Traditional Teachers who have been </w:t>
      </w:r>
      <w:r>
        <w:rPr>
          <w:i/>
        </w:rPr>
        <w:t xml:space="preserve">gifted </w:t>
      </w:r>
      <w:r>
        <w:t xml:space="preserve">the Indigenous Knowledge and teachings in this way can share those teachings publicly and transfer them. This type of Indigenous Knowledge is often considered as belonging to the community and held in trust by </w:t>
      </w:r>
      <w:r>
        <w:rPr>
          <w:b/>
        </w:rPr>
        <w:t>Knowledge Keepers and Elders</w:t>
      </w:r>
      <w:r>
        <w:t xml:space="preserve"> expected to abide by the cultural protocols entrusted to that knowledge.</w:t>
      </w:r>
    </w:p>
    <w:p w14:paraId="6EF38CAE" w14:textId="77777777" w:rsidR="00076776" w:rsidRDefault="00000000">
      <w:pPr>
        <w:ind w:left="720"/>
      </w:pPr>
      <w:r>
        <w:t xml:space="preserve">10: </w:t>
      </w:r>
      <w:r>
        <w:rPr>
          <w:b/>
        </w:rPr>
        <w:t>personal knowledge</w:t>
      </w:r>
      <w:r>
        <w:t>: Personal knowledge is acquired through individual educational pursuits, empirical processes, or the gifts that one is born with or has received through revealed knowledge, which includes spiritual knowledge gained through dreams, visions, intuitions, and meditations. Personal knowledge is not bounded by the cultural protocols of the community in the way that Traditional Knowledge is. … the role of an Elder or Traditional Knowledge Keeper is very different from the role of an Indigenous artist or academic who has acquired personal knowledge. Although an Elder might choose to claim the role of an artist, it is highly unlikely that an Indigenous artist or academic or politician would claim the role of an Elder or Traditional Knowledge Keeper unless she or he is acknowledged as one and conferred with the title by the community. This distinction is important because it is a concept understood instinctively by Indigenous communities even though not always articulated or discussed.</w:t>
      </w:r>
    </w:p>
    <w:p w14:paraId="1068D5B7" w14:textId="77777777" w:rsidR="00076776" w:rsidRDefault="00000000">
      <w:r>
        <w:rPr>
          <w:highlight w:val="green"/>
        </w:rPr>
        <w:t xml:space="preserve">11: </w:t>
      </w:r>
      <w:r>
        <w:rPr>
          <w:b/>
          <w:highlight w:val="green"/>
        </w:rPr>
        <w:t>networks of the Internet</w:t>
      </w:r>
      <w:r>
        <w:t>: … Castells defines the networks of the Internet as a new social structure that has transformed communication networks and socialization.</w:t>
      </w:r>
      <w:r>
        <w:rPr>
          <w:vertAlign w:val="superscript"/>
        </w:rPr>
        <w:t>2</w:t>
      </w:r>
      <w:r>
        <w:t xml:space="preserve"> These networks can be broadly defined as two competing streams on the Internet: </w:t>
      </w:r>
      <w:r>
        <w:rPr>
          <w:b/>
        </w:rPr>
        <w:t>the consumption model</w:t>
      </w:r>
      <w:r>
        <w:t xml:space="preserve">, which privileges features that support commercial transactions and advertisements, such as Facebook, Google, and Amazon; and </w:t>
      </w:r>
      <w:r>
        <w:rPr>
          <w:b/>
        </w:rPr>
        <w:t>the community model</w:t>
      </w:r>
      <w:r>
        <w:t>, which relies on communication features that support online community and public life (Foshay, 2016).</w:t>
      </w:r>
    </w:p>
    <w:p w14:paraId="20DB938A" w14:textId="77777777" w:rsidR="00076776" w:rsidRDefault="00000000">
      <w:r>
        <w:t xml:space="preserve">12: </w:t>
      </w:r>
      <w:r>
        <w:rPr>
          <w:b/>
        </w:rPr>
        <w:t>survivance</w:t>
      </w:r>
      <w:r>
        <w:t xml:space="preserve">: For Indigenous transmedia producers like me, interested in Indigenous Knowledge on the web, a discussion of web science and its meaning in terms of social and technological protocols is necessary for what </w:t>
      </w:r>
      <w:r>
        <w:rPr>
          <w:highlight w:val="magenta"/>
        </w:rPr>
        <w:t>Gerald Vizenor</w:t>
      </w:r>
      <w:r>
        <w:t xml:space="preserve"> (2008) calls our “</w:t>
      </w:r>
      <w:r>
        <w:rPr>
          <w:i/>
        </w:rPr>
        <w:t>survivance</w:t>
      </w:r>
      <w:r>
        <w:t>,” which represents our efforts at both survival of and resistance to colonization.</w:t>
      </w:r>
    </w:p>
    <w:p w14:paraId="22B7E89B" w14:textId="77777777" w:rsidR="00076776" w:rsidRDefault="00000000">
      <w:r>
        <w:t xml:space="preserve">14: </w:t>
      </w:r>
      <w:r>
        <w:rPr>
          <w:b/>
        </w:rPr>
        <w:t>Indigenous worldviews</w:t>
      </w:r>
      <w:r>
        <w:t xml:space="preserve">: Based on Doug Anderson’s definitions [in </w:t>
      </w:r>
      <w:r>
        <w:rPr>
          <w:i/>
        </w:rPr>
        <w:t xml:space="preserve">Natural Curiosity 2nd Edition: A Resource for Educators: The Importance of Indigenous Perspectives in Children’s Environmental Inquiry </w:t>
      </w:r>
      <w:r>
        <w:t xml:space="preserve">(Anderson, </w:t>
      </w:r>
      <w:proofErr w:type="spellStart"/>
      <w:r>
        <w:t>Chiarotto</w:t>
      </w:r>
      <w:proofErr w:type="spellEnd"/>
      <w:r>
        <w:t xml:space="preserve">, &amp; </w:t>
      </w:r>
      <w:proofErr w:type="spellStart"/>
      <w:r>
        <w:t>Comay</w:t>
      </w:r>
      <w:proofErr w:type="spellEnd"/>
      <w:r>
        <w:t xml:space="preserve">, 2017)], who says that “most, if not all, Indigenous perspectives include” the following: a strong sense of spirituality; a deeply rooted sense of place; a recognition that everything is related; an emphasis on reciprocity. (6–7). … Anderson notes that “Indigenous perspectives ultimately see Spirit as the greater reality, preceding matter in the creative order. This creative order transcends time, so Spirit and matter co-exist constantly in the process of Creation. Everything is always </w:t>
      </w:r>
      <w:r>
        <w:rPr>
          <w:i/>
        </w:rPr>
        <w:t xml:space="preserve">coming into being </w:t>
      </w:r>
      <w:r>
        <w:t>from a spiritual source” (58).”</w:t>
      </w:r>
    </w:p>
    <w:p w14:paraId="04634320" w14:textId="77777777" w:rsidR="00076776" w:rsidRDefault="00000000">
      <w:r>
        <w:rPr>
          <w:highlight w:val="green"/>
        </w:rPr>
        <w:t xml:space="preserve">14 </w:t>
      </w:r>
      <w:r>
        <w:rPr>
          <w:b/>
          <w:highlight w:val="green"/>
        </w:rPr>
        <w:t>Aki</w:t>
      </w:r>
      <w:r>
        <w:rPr>
          <w:highlight w:val="green"/>
        </w:rPr>
        <w:t>:</w:t>
      </w:r>
      <w:r>
        <w:t xml:space="preserve"> [@</w:t>
      </w:r>
      <w:proofErr w:type="gramStart"/>
      <w:r>
        <w:t>Link:</w:t>
      </w:r>
      <w:r>
        <w:rPr>
          <w:highlight w:val="magenta"/>
        </w:rPr>
        <w:t>Simpson</w:t>
      </w:r>
      <w:proofErr w:type="gramEnd"/>
      <w:r>
        <w:t xml:space="preserve">] …. understood to mean “everything,” though it often gets translated into “the land” or “earth.” Understanding the land as “everything in our place” and realizing that “everything has spirit” are foundational concepts in recognizing how everything is related. Anderson summarizes this notion beautifully: “Because everything is alive with Spirit, we are related to everything, and our relatives include animals, plants, the elements, past and future beings, subtle levels of being, and the spiritual world beyond time and space” (Anderson, </w:t>
      </w:r>
      <w:proofErr w:type="spellStart"/>
      <w:r>
        <w:t>Chiarotto</w:t>
      </w:r>
      <w:proofErr w:type="spellEnd"/>
      <w:r>
        <w:t xml:space="preserve">, &amp; </w:t>
      </w:r>
      <w:proofErr w:type="spellStart"/>
      <w:r>
        <w:t>Comay</w:t>
      </w:r>
      <w:proofErr w:type="spellEnd"/>
      <w:r>
        <w:t>, 2017, 104).</w:t>
      </w:r>
    </w:p>
    <w:p w14:paraId="6F12DAAB" w14:textId="77777777" w:rsidR="00076776" w:rsidRDefault="00000000">
      <w:r>
        <w:lastRenderedPageBreak/>
        <w:t xml:space="preserve">15: </w:t>
      </w:r>
      <w:r>
        <w:rPr>
          <w:b/>
          <w:i/>
        </w:rPr>
        <w:t>Anishinaabe-</w:t>
      </w:r>
      <w:proofErr w:type="spellStart"/>
      <w:r>
        <w:rPr>
          <w:b/>
          <w:i/>
        </w:rPr>
        <w:t>inaadiziwin</w:t>
      </w:r>
      <w:proofErr w:type="spellEnd"/>
      <w:r>
        <w:rPr>
          <w:i/>
        </w:rPr>
        <w:t xml:space="preserve"> </w:t>
      </w:r>
      <w:r>
        <w:t xml:space="preserve">(Anishinaabe “psychology” or “way of being”). </w:t>
      </w:r>
    </w:p>
    <w:p w14:paraId="415BCD3B" w14:textId="77777777" w:rsidR="00076776" w:rsidRDefault="00000000">
      <w:r>
        <w:t xml:space="preserve">15: </w:t>
      </w:r>
      <w:proofErr w:type="spellStart"/>
      <w:r>
        <w:rPr>
          <w:b/>
          <w:i/>
        </w:rPr>
        <w:t>aadizookaan</w:t>
      </w:r>
      <w:proofErr w:type="spellEnd"/>
      <w:r>
        <w:rPr>
          <w:i/>
        </w:rPr>
        <w:t xml:space="preserve"> </w:t>
      </w:r>
      <w:r>
        <w:t xml:space="preserve">(“traditional legends”) or </w:t>
      </w:r>
      <w:proofErr w:type="spellStart"/>
      <w:r>
        <w:rPr>
          <w:b/>
          <w:i/>
        </w:rPr>
        <w:t>dibaajimowin</w:t>
      </w:r>
      <w:proofErr w:type="spellEnd"/>
      <w:r>
        <w:rPr>
          <w:i/>
        </w:rPr>
        <w:t xml:space="preserve"> </w:t>
      </w:r>
      <w:r>
        <w:t>(“teachings, ordinary stories”).</w:t>
      </w:r>
    </w:p>
    <w:p w14:paraId="79DD14B1" w14:textId="77777777" w:rsidR="00076776" w:rsidRDefault="00000000">
      <w:r>
        <w:t xml:space="preserve">16: </w:t>
      </w:r>
      <w:r>
        <w:rPr>
          <w:b/>
        </w:rPr>
        <w:t>Anishinaabemowin</w:t>
      </w:r>
      <w:r>
        <w:t xml:space="preserve"> (the Ojibwe language).</w:t>
      </w:r>
    </w:p>
    <w:p w14:paraId="316FB659" w14:textId="77777777" w:rsidR="00076776" w:rsidRDefault="00000000">
      <w:r>
        <w:t xml:space="preserve">29: </w:t>
      </w:r>
      <w:r>
        <w:rPr>
          <w:b/>
        </w:rPr>
        <w:t>recombinant technologies</w:t>
      </w:r>
      <w:r>
        <w:t xml:space="preserve">: … designed and shaped by users who, for example, combine existing older systems such as video with new software innovations such as YouTube. Networked architecture, according to </w:t>
      </w:r>
      <w:proofErr w:type="spellStart"/>
      <w:r>
        <w:t>Lievrouw</w:t>
      </w:r>
      <w:proofErr w:type="spellEnd"/>
      <w:r>
        <w:t>, refers to the social consequences, impacts, and circulation activity of a work. Ubiquity is the idea that new media are present everywhere.</w:t>
      </w:r>
    </w:p>
    <w:p w14:paraId="25B34B53" w14:textId="77777777" w:rsidR="00076776" w:rsidRDefault="00000000">
      <w:r>
        <w:rPr>
          <w:highlight w:val="green"/>
        </w:rPr>
        <w:t xml:space="preserve">29: </w:t>
      </w:r>
      <w:r>
        <w:rPr>
          <w:b/>
          <w:highlight w:val="green"/>
        </w:rPr>
        <w:t>interactivity</w:t>
      </w:r>
      <w:r>
        <w:t xml:space="preserve">: Such interaction was seen as revolutionary because it was immediate and, therefore, occurred in </w:t>
      </w:r>
      <w:r>
        <w:rPr>
          <w:i/>
        </w:rPr>
        <w:t>real time</w:t>
      </w:r>
      <w:r>
        <w:t xml:space="preserve">. Perhaps more importantly, though, it was seen to provide a truer </w:t>
      </w:r>
      <w:proofErr w:type="spellStart"/>
      <w:r>
        <w:t>Habermasian</w:t>
      </w:r>
      <w:proofErr w:type="spellEnd"/>
      <w:r>
        <w:t xml:space="preserve"> space for users to engage and hence be political and social. Websites that did not have a Web 2.0 feature were seen as passé and not interactive. As </w:t>
      </w:r>
      <w:proofErr w:type="spellStart"/>
      <w:r>
        <w:t>Lievrouw</w:t>
      </w:r>
      <w:proofErr w:type="spellEnd"/>
      <w:r>
        <w:t xml:space="preserve"> writes, “we might think of interactivity as a feature of media infrastructure (articulating artifacts, practices, and social arrangements) and participation as a particular form of action supported by that infrastructure; but one depends on the other. ‘Interactive’ new media offer more opportunities for communicative action, and interaction, than do most traditional mass media formats, and thus more opportunities for participation” (2011, 15).</w:t>
      </w:r>
    </w:p>
    <w:p w14:paraId="6A5D8491" w14:textId="77777777" w:rsidR="00076776" w:rsidRDefault="00000000">
      <w:pPr>
        <w:ind w:left="720"/>
      </w:pPr>
      <w:r>
        <w:t xml:space="preserve">@Knote: see my MF notes on the </w:t>
      </w:r>
      <w:r>
        <w:rPr>
          <w:b/>
        </w:rPr>
        <w:t>myth of interactivity</w:t>
      </w:r>
      <w:r>
        <w:t>. It irks me when people conflate “interaction” with “more opportunities for participation,” because “participation” is not necessarily democratic or ubiquitous: I find it a fallacy that one leads to the other.</w:t>
      </w:r>
    </w:p>
    <w:p w14:paraId="20B3B194" w14:textId="77777777" w:rsidR="00076776" w:rsidRDefault="00000000">
      <w:r>
        <w:t xml:space="preserve">[30] After the launch of FourDirectionsTeachings.com in 2006, members of the new media community in Toronto and Banff dismissed it as not being cutting edge because it did not use the latest Web 2.0 technology. Therefore, it was not regarded as “interactive.” Their definition and my definition of interactive differ greatly: I do not limit interactivity to the content contributing to and altering activity of Web 2.0. For me, interactivity is embodied in how users can engage with the spatial design of </w:t>
      </w:r>
      <w:r>
        <w:rPr>
          <w:i/>
        </w:rPr>
        <w:t xml:space="preserve">FourDirectionsTeachings.com </w:t>
      </w:r>
      <w:r>
        <w:t>and thereby learn a great deal about the holistic nature of Indigenous Knowledge through their actual engagement.</w:t>
      </w:r>
    </w:p>
    <w:p w14:paraId="28B03AC2" w14:textId="77777777" w:rsidR="00076776" w:rsidRDefault="00000000">
      <w:r>
        <w:rPr>
          <w:highlight w:val="green"/>
        </w:rPr>
        <w:t xml:space="preserve">35: </w:t>
      </w:r>
      <w:r>
        <w:rPr>
          <w:b/>
          <w:highlight w:val="green"/>
        </w:rPr>
        <w:t>digital bundles</w:t>
      </w:r>
      <w:r>
        <w:t xml:space="preserve">: [@DECOL] I will now speak to a finding that has emerged from this research project: how FourDirectionsTeachings.com embodies a new cultural form—what cultural studies might call a new “cultural artifact” (see Hall, 1996)—that I will refer to as “a digital bundle.” …  I humbly propose that Indigenous Knowledge projects online such as FourDirectionsTeachings.com should be considered digital bundles. … [36] A bundle is a lifelong commitment (or a commitment that </w:t>
      </w:r>
      <w:proofErr w:type="gramStart"/>
      <w:r>
        <w:t>has to</w:t>
      </w:r>
      <w:proofErr w:type="gramEnd"/>
      <w:r>
        <w:t xml:space="preserve"> be responsibly passed on or otherwise released, never simply neglected or discarded in a disrespectful way). … in thinking about a bundle and what it means, we have to be mindful of the care and passing on of bundles (whether physical bundles, special bundles of knowledge, or the gifts that we receive at birth), that they are sacred things, and that there is—or at least could be—a ceremony to go along with that process. … Ultimately, all of this implies that a bundle is most often associated with the [37] manifestation of a very important and sacred thing that is spiritual, and not just physical, in nature. … FourDirectionsTeachings.com can be considered as a digital bundle because it is a collection of teachings by respected Elders and Traditional Teachers who have shared Indigenous Knowledge that is highly regarded and valued by diverse Indigenous communities.</w:t>
      </w:r>
    </w:p>
    <w:p w14:paraId="0BCADC9A" w14:textId="77777777" w:rsidR="00076776" w:rsidRDefault="00000000">
      <w:r>
        <w:t xml:space="preserve">37: </w:t>
      </w:r>
      <w:r>
        <w:rPr>
          <w:b/>
        </w:rPr>
        <w:t>genres of contemporary alternative and activist new media</w:t>
      </w:r>
      <w:r>
        <w:t xml:space="preserve">: According to </w:t>
      </w:r>
      <w:proofErr w:type="spellStart"/>
      <w:r>
        <w:t>Lievrouw</w:t>
      </w:r>
      <w:proofErr w:type="spellEnd"/>
      <w:r>
        <w:t xml:space="preserve"> (2011), the goal of </w:t>
      </w:r>
      <w:r>
        <w:rPr>
          <w:b/>
        </w:rPr>
        <w:t>culture jamming</w:t>
      </w:r>
      <w:r>
        <w:t xml:space="preserve"> is to borrow, subvert, and comment on popular culture. </w:t>
      </w:r>
      <w:r>
        <w:rPr>
          <w:b/>
        </w:rPr>
        <w:t>Alternative computing</w:t>
      </w:r>
      <w:r>
        <w:t xml:space="preserve"> involves highly specialized programmers who develop open software or hack into existing software to modify it for public purposes. </w:t>
      </w:r>
      <w:r>
        <w:rPr>
          <w:b/>
        </w:rPr>
        <w:t>Participatory journalism</w:t>
      </w:r>
      <w:r>
        <w:t xml:space="preserve"> is reporting from the margins that aims to subvert mainstream media broadcasts of the news. </w:t>
      </w:r>
      <w:r>
        <w:lastRenderedPageBreak/>
        <w:t>“</w:t>
      </w:r>
      <w:r>
        <w:rPr>
          <w:b/>
        </w:rPr>
        <w:t>Mediated mobilization</w:t>
      </w:r>
      <w:r>
        <w:t xml:space="preserve"> extends and activates the power of ‘live,’ local social relations and organizing—such as kinship and social support networks, professional affiliations or expert advice networks” (20). Finally, </w:t>
      </w:r>
      <w:r>
        <w:rPr>
          <w:b/>
        </w:rPr>
        <w:t>commons knowledge projects</w:t>
      </w:r>
      <w:r>
        <w:t xml:space="preserve"> “challenge or reframe the established, expert knowledge classifications of mainstream cultural institutions and disciplines” (20). </w:t>
      </w:r>
    </w:p>
    <w:p w14:paraId="007DB54C" w14:textId="77777777" w:rsidR="00076776" w:rsidRDefault="00000000">
      <w:r>
        <w:t xml:space="preserve">38: </w:t>
      </w:r>
      <w:r>
        <w:rPr>
          <w:b/>
        </w:rPr>
        <w:t>The Idle No More movement</w:t>
      </w:r>
      <w:r>
        <w:rPr>
          <w:vertAlign w:val="superscript"/>
        </w:rPr>
        <w:t>6</w:t>
      </w:r>
      <w:r>
        <w:t>—an ongoing Indigenous protest movement.</w:t>
      </w:r>
    </w:p>
    <w:p w14:paraId="71A0E4AC" w14:textId="77777777" w:rsidR="00076776" w:rsidRDefault="00076776"/>
    <w:p w14:paraId="44717FF0" w14:textId="77777777" w:rsidR="00076776" w:rsidRDefault="00000000">
      <w:pPr>
        <w:pStyle w:val="Heading2"/>
      </w:pPr>
      <w:r>
        <w:t xml:space="preserve">Core quotes </w:t>
      </w:r>
    </w:p>
    <w:p w14:paraId="5145FD51" w14:textId="77777777" w:rsidR="00076776" w:rsidRDefault="00000000">
      <w:r>
        <w:t>8 @Arg@Thesis@IK@IR@Internet</w:t>
      </w:r>
    </w:p>
    <w:p w14:paraId="0513F22F" w14:textId="77777777" w:rsidR="00076776" w:rsidRDefault="00000000">
      <w:r>
        <w:t xml:space="preserve">Key argument for the book:  </w:t>
      </w:r>
    </w:p>
    <w:p w14:paraId="693E9BCF" w14:textId="77777777" w:rsidR="00076776" w:rsidRDefault="00000000">
      <w:pPr>
        <w:ind w:left="720"/>
      </w:pPr>
      <w:r>
        <w:t>Indigenous Knowledge online is instrumental to the success of Indigenous community resurgence and radical application of knowledge in all fields, including education, health, law, and social well-being. … Indigenous Knowledge online speaks back to dominant colonial systems of knowledge in Canada by representing an active presence rooted in the local soils of diverse Elders and Knowledge Keepers.</w:t>
      </w:r>
    </w:p>
    <w:p w14:paraId="21EC50E2" w14:textId="77777777" w:rsidR="00076776" w:rsidRDefault="00076776"/>
    <w:p w14:paraId="01E7AB2C" w14:textId="77777777" w:rsidR="00076776" w:rsidRDefault="00000000">
      <w:r>
        <w:t>12 @Internet@IK@SJ@SettState</w:t>
      </w:r>
    </w:p>
    <w:p w14:paraId="2F9E6BE3" w14:textId="77777777" w:rsidR="00076776" w:rsidRDefault="00000000">
      <w:pPr>
        <w:ind w:left="720"/>
      </w:pPr>
      <w:r>
        <w:t xml:space="preserve">… the </w:t>
      </w:r>
      <w:r>
        <w:rPr>
          <w:b/>
        </w:rPr>
        <w:t>Truth and Reconciliation Commission of Canada</w:t>
      </w:r>
      <w:r>
        <w:t xml:space="preserve">, in the “Media and Reconciliation” section of its report (Sinclair, Wilson, &amp; Littlechild, 2015, 335), </w:t>
      </w:r>
      <w:r>
        <w:rPr>
          <w:b/>
        </w:rPr>
        <w:t>completely missed any discussion of the Internet</w:t>
      </w:r>
      <w:r>
        <w:t>. This omission is a significant oversight, since the Internet is the main channel of communication for many Indigenous communities dispersed across North and South America and has become the main tool of dissemination of information and knowledge from the grassroots level.</w:t>
      </w:r>
    </w:p>
    <w:p w14:paraId="6B9DA015" w14:textId="77777777" w:rsidR="00076776" w:rsidRDefault="00076776">
      <w:pPr>
        <w:ind w:left="720"/>
      </w:pPr>
    </w:p>
    <w:p w14:paraId="19133473" w14:textId="77777777" w:rsidR="00076776" w:rsidRDefault="00000000">
      <w:r>
        <w:t>24-25 @IK@CultApp@Internet</w:t>
      </w:r>
    </w:p>
    <w:p w14:paraId="10CFEC22" w14:textId="77777777" w:rsidR="00076776" w:rsidRDefault="00000000">
      <w:pPr>
        <w:ind w:left="720"/>
      </w:pPr>
      <w:r>
        <w:t>Suffice it to say here that issues of cultural appropriation and the fear of usurpation take many forms when thinking about Indigenous Knowledge on the Internet. Indeed, some scholars argue that Indigenous Peoples should not share their knowledge at all, as in the politics of refusal (Tuck &amp;Yang, 2012).</w:t>
      </w:r>
    </w:p>
    <w:p w14:paraId="13A28B5A" w14:textId="77777777" w:rsidR="00076776" w:rsidRDefault="00076776"/>
    <w:p w14:paraId="5DC8BB9C" w14:textId="77777777" w:rsidR="00076776" w:rsidRDefault="00000000">
      <w:r>
        <w:t xml:space="preserve">26 @Arg@IK@Internet@CounterArg@Orality </w:t>
      </w:r>
    </w:p>
    <w:p w14:paraId="78D2272F" w14:textId="77777777" w:rsidR="00076776" w:rsidRDefault="00000000">
      <w:r>
        <w:t xml:space="preserve">I am not convinced by this position, and would suggest that the opposite is equally possible: </w:t>
      </w:r>
    </w:p>
    <w:p w14:paraId="31363C46" w14:textId="77777777" w:rsidR="00076776" w:rsidRDefault="00000000">
      <w:pPr>
        <w:ind w:left="720"/>
      </w:pPr>
      <w:r>
        <w:t xml:space="preserve">Like DeMain, I see the </w:t>
      </w:r>
      <w:r>
        <w:rPr>
          <w:b/>
        </w:rPr>
        <w:t>Internet</w:t>
      </w:r>
      <w:r>
        <w:t xml:space="preserve"> as a medium that, in some ways, has finally caught up to aspects of Indigenous notions of oral storytelling. According to Alia (2010, 17), others, such as Jim Bell, editor of </w:t>
      </w:r>
      <w:r>
        <w:rPr>
          <w:i/>
        </w:rPr>
        <w:t>Nunatsiaq News</w:t>
      </w:r>
      <w:r>
        <w:t xml:space="preserve">, believe that “the Internet offers a way of </w:t>
      </w:r>
      <w:r>
        <w:rPr>
          <w:i/>
        </w:rPr>
        <w:t>fighting back</w:t>
      </w:r>
      <w:r>
        <w:t xml:space="preserve">—a chance to </w:t>
      </w:r>
      <w:r>
        <w:rPr>
          <w:i/>
        </w:rPr>
        <w:t>send the information the other way</w:t>
      </w:r>
      <w:r>
        <w:t xml:space="preserve">—and therefore can be an antidote to the cultural demolition that has occurred in some other media,” notably the racist portrayals of “Indians” in film and television (Kilpatrick, 1999). In thinking about the hypertext functionality and the meaning that arises from the relationships between texts and images, Martin Nakata (2002, 287) notes in his work </w:t>
      </w:r>
      <w:r>
        <w:rPr>
          <w:i/>
        </w:rPr>
        <w:t xml:space="preserve">Indigenous Knowledge and the Cultural Interface: Underlying Issues at the Intersection of Knowledge and Information Systems </w:t>
      </w:r>
      <w:r>
        <w:t xml:space="preserve">that “the online environment has reconstituted the balance between visual, oral, and textual modes of </w:t>
      </w:r>
      <w:r>
        <w:rPr>
          <w:b/>
        </w:rPr>
        <w:t>presenting information in a way that supports cultural perspectives</w:t>
      </w:r>
      <w:r>
        <w:t>.”</w:t>
      </w:r>
    </w:p>
    <w:p w14:paraId="08B30933" w14:textId="77777777" w:rsidR="00076776" w:rsidRDefault="00076776"/>
    <w:p w14:paraId="57748CBE" w14:textId="77777777" w:rsidR="00076776" w:rsidRDefault="00000000">
      <w:r>
        <w:t xml:space="preserve">And, W builds on this premise, again, and I see a heap of contestable assumptions in this: </w:t>
      </w:r>
    </w:p>
    <w:p w14:paraId="2D483D1A" w14:textId="77777777" w:rsidR="00076776" w:rsidRDefault="00000000">
      <w:pPr>
        <w:ind w:left="720"/>
      </w:pPr>
      <w:r>
        <w:lastRenderedPageBreak/>
        <w:t xml:space="preserve">“The question that needs to be asked about the relation of the </w:t>
      </w:r>
      <w:r>
        <w:rPr>
          <w:b/>
        </w:rPr>
        <w:t>Internet to democracy</w:t>
      </w:r>
      <w:r>
        <w:t xml:space="preserve"> is this: are there new kinds of relations occurring within it which suggest new forms of power configurations between communicating individuals? In other words, </w:t>
      </w:r>
      <w:r>
        <w:rPr>
          <w:b/>
        </w:rPr>
        <w:t>is there a new politics on the Internet?” (5). // More than twenty years later we can say unequivocally that there is indeed a new politics</w:t>
      </w:r>
      <w:r>
        <w:t xml:space="preserve">. … </w:t>
      </w:r>
      <w:proofErr w:type="spellStart"/>
      <w:r>
        <w:t>Lievrouw</w:t>
      </w:r>
      <w:proofErr w:type="spellEnd"/>
      <w:r>
        <w:t xml:space="preserve"> then revamps the general definition of new media </w:t>
      </w:r>
      <w:proofErr w:type="gramStart"/>
      <w:r>
        <w:t>so as to</w:t>
      </w:r>
      <w:proofErr w:type="gramEnd"/>
      <w:r>
        <w:t xml:space="preserve"> </w:t>
      </w:r>
    </w:p>
    <w:p w14:paraId="475CCD63" w14:textId="77777777" w:rsidR="00076776" w:rsidRDefault="00000000">
      <w:pPr>
        <w:ind w:left="1440"/>
      </w:pPr>
      <w:r>
        <w:t xml:space="preserve">propose that </w:t>
      </w:r>
      <w:r>
        <w:rPr>
          <w:b/>
        </w:rPr>
        <w:t>alternative/activist new media employ or modify the communication artifacts, practices, and social arrangements of new information and communication technologies to challenge or alter dominant, expected, or accepted ways of doing society, culture, and politics</w:t>
      </w:r>
      <w:r>
        <w:t>. … (19)</w:t>
      </w:r>
    </w:p>
    <w:p w14:paraId="4E40189E" w14:textId="77777777" w:rsidR="00076776" w:rsidRDefault="00076776"/>
    <w:p w14:paraId="0BFD5472" w14:textId="77777777" w:rsidR="00076776" w:rsidRDefault="00000000">
      <w:r>
        <w:t xml:space="preserve">W redeems a little with this statement: </w:t>
      </w:r>
    </w:p>
    <w:p w14:paraId="109D543C" w14:textId="77777777" w:rsidR="00076776" w:rsidRDefault="00000000">
      <w:pPr>
        <w:ind w:left="720"/>
      </w:pPr>
      <w:r>
        <w:t xml:space="preserve">[30 @SJ@IR@TechDev] … it is important to recognize that </w:t>
      </w:r>
      <w:r>
        <w:rPr>
          <w:i/>
        </w:rPr>
        <w:t>no mere tool, no matter how well designed or used, can ever replace—or even come close to—oral, person-to- person transmission of traditional cultural knowledge</w:t>
      </w:r>
      <w:r>
        <w:t xml:space="preserve">. Consequently, any discussion of Indigenous Knowledge online presented in this book should be digested with these two important principles in mind. As a producer and researcher, I believe that certain aspects of Indigenous Knowledge can be expressed through new technologies and can therefore contribute to the needs of Indigenous communities. </w:t>
      </w:r>
      <w:r>
        <w:rPr>
          <w:b/>
        </w:rPr>
        <w:t>I am not advocating the transmission of deep Indigenous Knowledge, or what might be called Indigenous Ceremonial Knowledge, since that is not the topic of my research. // Rather, my interests are in researching the need and potential for culturally sensitive resources that speak to diverse forms of Indigenous cultural heritage and in understanding the connections that can be made between new technologies and Indigenous epistemologies.</w:t>
      </w:r>
    </w:p>
    <w:p w14:paraId="7EB54BD3" w14:textId="77777777" w:rsidR="00076776" w:rsidRDefault="00076776"/>
    <w:p w14:paraId="0C2AC92E" w14:textId="77777777" w:rsidR="00076776" w:rsidRDefault="00000000">
      <w:r>
        <w:t>42 @DECOL</w:t>
      </w:r>
    </w:p>
    <w:p w14:paraId="60748FFF" w14:textId="77777777" w:rsidR="00076776" w:rsidRDefault="00000000">
      <w:r>
        <w:t xml:space="preserve">Like bundles carried by Elders and Traditional Teachers, FourDirectionsTeachings.com is transportable and can be accessed when needed and activated at </w:t>
      </w:r>
      <w:proofErr w:type="gramStart"/>
      <w:r>
        <w:t>particular times</w:t>
      </w:r>
      <w:proofErr w:type="gramEnd"/>
      <w:r>
        <w:t xml:space="preserve"> and places when alone or with a group. Also, like a physical bundle that is carried, the digital bundle stores knowledge and teachings and takes care of them through the process of adhering to protocols. Ultimately, a digital bundle represents a positive subversion on the Internet by offering an Indigenous history and imaginary that dares to challenge colonial ideologies by asserting the power and presence of Indigenous Knowledge.</w:t>
      </w:r>
    </w:p>
    <w:p w14:paraId="72C522DE" w14:textId="77777777" w:rsidR="00076776" w:rsidRDefault="00076776"/>
    <w:p w14:paraId="0FD79ACF" w14:textId="77777777" w:rsidR="00076776" w:rsidRDefault="00000000">
      <w:r>
        <w:t>46 @IK@Internet@ISr@Ontol</w:t>
      </w:r>
    </w:p>
    <w:p w14:paraId="5D5AA9ED" w14:textId="77777777" w:rsidR="00076776" w:rsidRDefault="00000000">
      <w:pPr>
        <w:ind w:left="720"/>
        <w:rPr>
          <w:b/>
        </w:rPr>
      </w:pPr>
      <w:r>
        <w:rPr>
          <w:b/>
        </w:rPr>
        <w:t>I understand now that introducing non-Indigenous people to Indigenous Knowledge and worldviews begins a much-needed dialogue in relation to all facets of community life. The implications of the teachings for everything from political economy to social organization and the environment are of value to both Indigenous Peoples and non-Indigenous people. More importantly, I see the necessity of having Indigenous communities and non- Indigenous people understand the ethics of Indigenous Knowledge and how it is acknowledged and accessed within Indigenous community protocols, even when found on the Internet.</w:t>
      </w:r>
    </w:p>
    <w:p w14:paraId="7A35C1CF" w14:textId="77777777" w:rsidR="00076776" w:rsidRDefault="00076776"/>
    <w:p w14:paraId="7B5924CC" w14:textId="77777777" w:rsidR="00076776" w:rsidRDefault="00000000">
      <w:r>
        <w:t>61 @IK@ISr@IP</w:t>
      </w:r>
    </w:p>
    <w:p w14:paraId="25E59707" w14:textId="77777777" w:rsidR="00076776" w:rsidRDefault="00000000">
      <w:pPr>
        <w:ind w:left="720"/>
      </w:pPr>
      <w:r>
        <w:lastRenderedPageBreak/>
        <w:t xml:space="preserve">I totally agree! </w:t>
      </w:r>
      <w:r>
        <w:rPr>
          <w:b/>
        </w:rPr>
        <w:t>It is possible to apply cultural protocols to the Internet</w:t>
      </w:r>
      <w:r>
        <w:t>. One way that FourDirectionsTeachings.com has achieved this is by creating a biography section for each Elder/Knowledge Keeper. The biography locates the Elder in his or her community and illustrates why and how that Elder is recognized as such by the community.</w:t>
      </w:r>
    </w:p>
    <w:p w14:paraId="73DFB730" w14:textId="77777777" w:rsidR="00076776" w:rsidRDefault="00076776">
      <w:pPr>
        <w:ind w:left="720"/>
      </w:pPr>
    </w:p>
    <w:p w14:paraId="6883AFDC" w14:textId="77777777" w:rsidR="00076776" w:rsidRDefault="00000000">
      <w:pPr>
        <w:pStyle w:val="Heading2"/>
      </w:pPr>
      <w:r>
        <w:t>Secondary quotes</w:t>
      </w:r>
    </w:p>
    <w:p w14:paraId="1EFE7BB1" w14:textId="77777777" w:rsidR="00076776" w:rsidRDefault="00000000">
      <w:r>
        <w:t>10 W self-ID’s as “a producer of Indigenous Knowledge media projects and as an academic…” / 10 @Thesis This book also explores the potential of the Internet and digital technology to serve Indigenous resurgence agendas by contributing to the efforts and goals of Indigenous nation building, and it aims to bridge the fields of Indigenous resurgence and Internet studies (</w:t>
      </w:r>
      <w:proofErr w:type="spellStart"/>
      <w:r>
        <w:t>Benkler</w:t>
      </w:r>
      <w:proofErr w:type="spellEnd"/>
      <w:r>
        <w:t xml:space="preserve">, 2006)… / 11 This book discusses knowledge production in relation to the community, using the example of how </w:t>
      </w:r>
      <w:r>
        <w:rPr>
          <w:b/>
          <w:i/>
          <w:highlight w:val="green"/>
        </w:rPr>
        <w:t>FourDirectionsTeachings.com</w:t>
      </w:r>
      <w:r>
        <w:t xml:space="preserve"> is taken up by visitors who use the site and how the site came to be accepted as a legitimate source of Indigenous Knowledge online by many Indigenous artists and educators and Canadian institutions and organizations that work with Indigenous Peoples. It … was created and produced within Indigenous protocols, </w:t>
      </w:r>
      <w:r>
        <w:rPr>
          <w:b/>
        </w:rPr>
        <w:t>demonstrating Indigenous practice and applied Indigenous ethics in the construction of a digital site</w:t>
      </w:r>
      <w:r>
        <w:t xml:space="preserve">. / 12 Tim Berners-Lee (2014, 181), widely acclaimed as the inventor of the Web… Berners-Lee described web science as the design of two things: a </w:t>
      </w:r>
      <w:r>
        <w:rPr>
          <w:b/>
        </w:rPr>
        <w:t>social protocol</w:t>
      </w:r>
      <w:r>
        <w:t xml:space="preserve"> and a </w:t>
      </w:r>
      <w:r>
        <w:rPr>
          <w:b/>
        </w:rPr>
        <w:t>technological protocol</w:t>
      </w:r>
      <w:r>
        <w:t xml:space="preserve"> (184). / 14 In this way, </w:t>
      </w:r>
      <w:r>
        <w:rPr>
          <w:b/>
        </w:rPr>
        <w:t>we are all part of the greater sacred hoop</w:t>
      </w:r>
      <w:r>
        <w:t xml:space="preserve">, which encompasses all of Creation. For this connection and our small place in this greater sacred hoop, we are grateful, and hence we emphasize </w:t>
      </w:r>
      <w:r>
        <w:rPr>
          <w:b/>
        </w:rPr>
        <w:t>reciprocity</w:t>
      </w:r>
      <w:r>
        <w:t xml:space="preserve">. / 15 </w:t>
      </w:r>
      <w:r>
        <w:rPr>
          <w:b/>
          <w:highlight w:val="green"/>
        </w:rPr>
        <w:t>Position statement</w:t>
      </w:r>
      <w:r>
        <w:t xml:space="preserve">: I will share some personal information as a way of introducing myself and practising </w:t>
      </w:r>
      <w:proofErr w:type="spellStart"/>
      <w:r>
        <w:rPr>
          <w:i/>
        </w:rPr>
        <w:t>Biskaabiiyang</w:t>
      </w:r>
      <w:proofErr w:type="spellEnd"/>
      <w:r>
        <w:t xml:space="preserve">, what Wendy </w:t>
      </w:r>
      <w:proofErr w:type="spellStart"/>
      <w:r>
        <w:t>Geniusz</w:t>
      </w:r>
      <w:proofErr w:type="spellEnd"/>
      <w:r>
        <w:t xml:space="preserve"> (2009) refers to as a methodology for “returning to ourselves.” / 16 Anderson: Set apart from one another, it becomes easier to succumb to self-interest, </w:t>
      </w:r>
      <w:r>
        <w:rPr>
          <w:b/>
        </w:rPr>
        <w:t xml:space="preserve">indiscriminately accelerated material progress, and the acquisition of </w:t>
      </w:r>
      <w:r>
        <w:rPr>
          <w:b/>
          <w:i/>
        </w:rPr>
        <w:t>things</w:t>
      </w:r>
      <w:r>
        <w:t xml:space="preserve">. In such a world, our shared purpose, our deeper selves, and love itself, are dimmed. / 17 </w:t>
      </w:r>
      <w:r>
        <w:rPr>
          <w:b/>
        </w:rPr>
        <w:t>About FourDirectionsTeachings.com</w:t>
      </w:r>
      <w:r>
        <w:t xml:space="preserve">: teachings would be immediately accessible to front-line workers, who often struggle to find appropriate resources on Indigenous Knowledge. … [19] Four Directions Teachings celebrates Indigenous Oral Traditions / 21 … Blackfoot societies. He referred to these processes by the acronym </w:t>
      </w:r>
      <w:r>
        <w:rPr>
          <w:b/>
        </w:rPr>
        <w:t>VALS</w:t>
      </w:r>
      <w:r>
        <w:t xml:space="preserve">, which stands for </w:t>
      </w:r>
      <w:r>
        <w:rPr>
          <w:b/>
        </w:rPr>
        <w:t>venue, action, language, and song</w:t>
      </w:r>
      <w:r>
        <w:t xml:space="preserve">. / 22 FourDirectionsTeachings.com, uploaded to the World Wide Web in 2006, has been maintained by my company, Invert Media. Access to the site is free. / 24 … commodification of the dream catcher. Now made and marketed online from China. / 44 To discuss the impact of this project, I employ social theory, cultural analysis, political critique, as well as Indigenous methodologies and theories that pull from the work of Taiaiake Alfred (2009), Wendy </w:t>
      </w:r>
      <w:proofErr w:type="spellStart"/>
      <w:r>
        <w:t>Makoons</w:t>
      </w:r>
      <w:proofErr w:type="spellEnd"/>
      <w:r>
        <w:t xml:space="preserve"> </w:t>
      </w:r>
      <w:proofErr w:type="spellStart"/>
      <w:r>
        <w:t>Geniusz</w:t>
      </w:r>
      <w:proofErr w:type="spellEnd"/>
      <w:r>
        <w:t xml:space="preserve"> (2009), Leanne Simpson (2011), and Linda Tuhiwai Smith (1999). / 44 Alfred’s (2009) </w:t>
      </w:r>
      <w:r>
        <w:rPr>
          <w:b/>
        </w:rPr>
        <w:t>five mantras</w:t>
      </w:r>
      <w:r>
        <w:t xml:space="preserve">. … [46] </w:t>
      </w:r>
      <w:r>
        <w:rPr>
          <w:highlight w:val="magenta"/>
        </w:rPr>
        <w:t>Alfred</w:t>
      </w:r>
      <w:r>
        <w:t xml:space="preserve"> identifies in “Being Indigenous: Resurgences against Contemporary Colonialism” (Alfred &amp; Corntassel, 2005). He describes these processes as “mantras of a resurgent Indigenous movement,” and they include Land Is Life, Language Is Power, Freedom Is the Other Side of Fear, Decolonize Your Diet, and Change Happens One Warrior at a Time (613). / 47 </w:t>
      </w:r>
      <w:r>
        <w:rPr>
          <w:b/>
        </w:rPr>
        <w:t xml:space="preserve">The Four Tenets </w:t>
      </w:r>
      <w:proofErr w:type="spellStart"/>
      <w:r>
        <w:rPr>
          <w:i/>
        </w:rPr>
        <w:t>Biskaabiiyang</w:t>
      </w:r>
      <w:proofErr w:type="spellEnd"/>
      <w:r>
        <w:rPr>
          <w:b/>
        </w:rPr>
        <w:t xml:space="preserve"> </w:t>
      </w:r>
      <w:r>
        <w:t xml:space="preserve">Leanne Simpson (2011, 51) explains that </w:t>
      </w:r>
      <w:proofErr w:type="spellStart"/>
      <w:r>
        <w:t>Biskaabiiyang</w:t>
      </w:r>
      <w:proofErr w:type="spellEnd"/>
      <w:r>
        <w:t xml:space="preserve"> means…. / Taiaiake Alfred’s “particular pathways that lead to Indigenous resurgence movements” with details on each, from pp. 51-52 / 53 </w:t>
      </w:r>
      <w:r>
        <w:rPr>
          <w:b/>
        </w:rPr>
        <w:t xml:space="preserve">Twenty-Five Projects/Indigenous Methodologies </w:t>
      </w:r>
      <w:r>
        <w:t xml:space="preserve">… Linda Tuhiwai </w:t>
      </w:r>
      <w:r>
        <w:rPr>
          <w:highlight w:val="magenta"/>
        </w:rPr>
        <w:t>Smith</w:t>
      </w:r>
      <w:r>
        <w:t xml:space="preserve"> devotes a chapter of </w:t>
      </w:r>
      <w:r>
        <w:rPr>
          <w:i/>
        </w:rPr>
        <w:t xml:space="preserve">Decolonizing Methodologies </w:t>
      </w:r>
      <w:r>
        <w:t xml:space="preserve">to listing twenty-five projects that are not a definitive list of activities but an attempt to bolster Indigenous communities, </w:t>
      </w:r>
      <w:r>
        <w:lastRenderedPageBreak/>
        <w:t xml:space="preserve">researchers, and activists with the information that there are processes and methodologies that can work for them (1999, 161). [the list </w:t>
      </w:r>
      <w:proofErr w:type="gramStart"/>
      <w:r>
        <w:t>follows, but</w:t>
      </w:r>
      <w:proofErr w:type="gramEnd"/>
      <w:r>
        <w:t xml:space="preserve"> reordered by W to suit her methodologies]. </w:t>
      </w:r>
    </w:p>
    <w:p w14:paraId="23DBF6F1" w14:textId="77777777" w:rsidR="00076776" w:rsidRDefault="00076776"/>
    <w:p w14:paraId="489D3386" w14:textId="77777777" w:rsidR="00076776" w:rsidRDefault="00000000">
      <w:pPr>
        <w:pStyle w:val="Heading2"/>
      </w:pPr>
      <w:r>
        <w:t>Notes</w:t>
      </w:r>
    </w:p>
    <w:p w14:paraId="51CE6974" w14:textId="77777777" w:rsidR="00076776" w:rsidRDefault="00000000">
      <w:r>
        <w:t>17 @Knote@Diss@FFessay</w:t>
      </w:r>
    </w:p>
    <w:p w14:paraId="76B075CF" w14:textId="77777777" w:rsidR="00076776" w:rsidRDefault="00000000">
      <w:r>
        <w:t xml:space="preserve">With this was the norm in academic writing: </w:t>
      </w:r>
    </w:p>
    <w:p w14:paraId="6AA46AE7" w14:textId="77777777" w:rsidR="00076776" w:rsidRDefault="00000000">
      <w:pPr>
        <w:ind w:firstLine="720"/>
      </w:pPr>
      <w:r>
        <w:t>As a researcher, I do not assume or pretend to have an “objective” stance.</w:t>
      </w:r>
    </w:p>
    <w:p w14:paraId="40A5FE8D" w14:textId="77777777" w:rsidR="00076776" w:rsidRDefault="00076776"/>
    <w:p w14:paraId="3B2350DF" w14:textId="77777777" w:rsidR="00076776" w:rsidRDefault="00000000">
      <w:r>
        <w:t>29 @</w:t>
      </w:r>
      <w:proofErr w:type="gramStart"/>
      <w:r>
        <w:t>K?@</w:t>
      </w:r>
      <w:proofErr w:type="gramEnd"/>
      <w:r>
        <w:t>CounterArg</w:t>
      </w:r>
    </w:p>
    <w:p w14:paraId="54E25932" w14:textId="77777777" w:rsidR="00076776" w:rsidRDefault="00000000">
      <w:r>
        <w:t xml:space="preserve">Quote: </w:t>
      </w:r>
    </w:p>
    <w:p w14:paraId="0A84B95F" w14:textId="77777777" w:rsidR="00076776" w:rsidRDefault="00000000">
      <w:pPr>
        <w:ind w:left="720"/>
      </w:pPr>
      <w:r>
        <w:rPr>
          <w:b/>
        </w:rPr>
        <w:t>recombinant technologies</w:t>
      </w:r>
      <w:r>
        <w:t xml:space="preserve">: … designed and shaped by users who, for example, combine existing older systems such as video with new software innovations such as YouTube. Networked architecture, according to </w:t>
      </w:r>
      <w:proofErr w:type="spellStart"/>
      <w:r>
        <w:t>Lievrouw</w:t>
      </w:r>
      <w:proofErr w:type="spellEnd"/>
      <w:r>
        <w:t>, refers to the social consequences, impacts, and circulation activity of a work. Ubiquity is the idea that new media are present everywhere.</w:t>
      </w:r>
    </w:p>
    <w:p w14:paraId="20C81BB3" w14:textId="77777777" w:rsidR="00076776" w:rsidRDefault="00076776"/>
    <w:p w14:paraId="37DB5F9F" w14:textId="77777777" w:rsidR="00076776" w:rsidRDefault="00000000">
      <w:r>
        <w:t xml:space="preserve">I am not convinced that YouTube is an “innovation,” any more than a letter is an innovation of oral communication. YouTube is still, like TV, a top-down content-controlled space created and maintained by settler corporate culture and rules. W also fails to mention the privacy lost </w:t>
      </w:r>
      <w:proofErr w:type="gramStart"/>
      <w:r>
        <w:t>in order to</w:t>
      </w:r>
      <w:proofErr w:type="gramEnd"/>
      <w:r>
        <w:t xml:space="preserve"> use this Google Inc. product, and how the currency in this space is really surveillance, mostly passive (AI-based advertisements) but also active (federal censorship laws). Happily, W addresses this: </w:t>
      </w:r>
    </w:p>
    <w:p w14:paraId="75F01613" w14:textId="77777777" w:rsidR="00076776" w:rsidRDefault="00076776"/>
    <w:p w14:paraId="168BC367" w14:textId="77777777" w:rsidR="00076776" w:rsidRDefault="00000000">
      <w:pPr>
        <w:ind w:left="720"/>
      </w:pPr>
      <w:r>
        <w:t xml:space="preserve">[65] The Idle No More movement certainly demonstrated the propensity of Indigenous communities to use popular social media sites, but it also demonstrated the ability of state surveillance to infiltrate such sites and co-opt opportunities for Indigenous social activism. Ownership, then, applies not only to the broadband infrastructure that connects us but also to the ownership, design, creation, and maintenance of online Indigenous projects, whether they are digital bundles, language websites, educational portals, or social hubs. </w:t>
      </w:r>
      <w:r>
        <w:rPr>
          <w:b/>
        </w:rPr>
        <w:t>Indigenous communities must take control to own and operate broadband infrastructure and to disseminate Indigenous Knowledge in ways that suit their interests, needs, and cultural principles.</w:t>
      </w:r>
    </w:p>
    <w:p w14:paraId="0AD3FA7F" w14:textId="77777777" w:rsidR="00076776" w:rsidRDefault="00076776"/>
    <w:p w14:paraId="013D96D5" w14:textId="77777777" w:rsidR="00076776" w:rsidRDefault="00000000">
      <w:r>
        <w:t xml:space="preserve">As for this: </w:t>
      </w:r>
    </w:p>
    <w:p w14:paraId="32D021CD" w14:textId="77777777" w:rsidR="00076776" w:rsidRDefault="00000000">
      <w:pPr>
        <w:ind w:left="720"/>
      </w:pPr>
      <w:r>
        <w:t xml:space="preserve">Interactivity is a necessary condition for social, political, and cultural participation. </w:t>
      </w:r>
      <w:proofErr w:type="spellStart"/>
      <w:r>
        <w:t>Lievrouw</w:t>
      </w:r>
      <w:proofErr w:type="spellEnd"/>
      <w:r>
        <w:t xml:space="preserve"> deduces that this type of interactivity is found in Web 2.0 technology.</w:t>
      </w:r>
    </w:p>
    <w:p w14:paraId="75AD86B1" w14:textId="77777777" w:rsidR="00076776" w:rsidRDefault="00000000">
      <w:r>
        <w:t xml:space="preserve">See my MF notes for the myth of “interactivity.” </w:t>
      </w:r>
    </w:p>
    <w:p w14:paraId="1D153C1C" w14:textId="77777777" w:rsidR="00076776" w:rsidRDefault="00076776"/>
    <w:p w14:paraId="52AFCD5F" w14:textId="77777777" w:rsidR="00076776" w:rsidRDefault="00000000">
      <w:r>
        <w:t>This is a complex description of the word “reading:”</w:t>
      </w:r>
    </w:p>
    <w:p w14:paraId="3D668F20" w14:textId="77777777" w:rsidR="00076776" w:rsidRDefault="00000000">
      <w:pPr>
        <w:ind w:left="720"/>
      </w:pPr>
      <w:r>
        <w:t xml:space="preserve">I have always thought of </w:t>
      </w:r>
      <w:r>
        <w:rPr>
          <w:i/>
        </w:rPr>
        <w:t>FourDirectionsTeachings.com</w:t>
      </w:r>
      <w:r>
        <w:t xml:space="preserve"> as an </w:t>
      </w:r>
      <w:r>
        <w:rPr>
          <w:b/>
        </w:rPr>
        <w:t xml:space="preserve">interactive web project </w:t>
      </w:r>
      <w:r>
        <w:t xml:space="preserve">because it articulates a particular form of teachings, which have been combined and designed to impart their significance, as holistic knowledge, through their spatial relationships. The Internet user engages those spatial relationships by </w:t>
      </w:r>
      <w:r>
        <w:rPr>
          <w:b/>
        </w:rPr>
        <w:t>interacting with each teaching</w:t>
      </w:r>
      <w:r>
        <w:t>.</w:t>
      </w:r>
    </w:p>
    <w:p w14:paraId="228DA1C2" w14:textId="77777777" w:rsidR="00076776" w:rsidRDefault="00076776"/>
    <w:p w14:paraId="2E834EDE" w14:textId="77777777" w:rsidR="00076776" w:rsidRDefault="00000000">
      <w:r>
        <w:t>53+ @Knote@FFessay@IR@IK</w:t>
      </w:r>
    </w:p>
    <w:p w14:paraId="7E7567BF" w14:textId="77777777" w:rsidR="00076776" w:rsidRDefault="00000000">
      <w:r>
        <w:lastRenderedPageBreak/>
        <w:t xml:space="preserve">See this section for a good summary of @Smith’s chapter of </w:t>
      </w:r>
      <w:r>
        <w:rPr>
          <w:i/>
        </w:rPr>
        <w:t xml:space="preserve">Decolonizing Methodologies </w:t>
      </w:r>
      <w:r>
        <w:t>that lists the 25 projects to decolonize. W argues that “The projects listed are still relevant today and resonate as powerful methodologies that can provide an Indigenous framework for thinking about how Indigenous Knowledge online contributes to Indigenous resurgence.”</w:t>
      </w:r>
    </w:p>
    <w:p w14:paraId="791A0710" w14:textId="77777777" w:rsidR="00076776" w:rsidRDefault="00076776"/>
    <w:p w14:paraId="768DFA9A" w14:textId="77777777" w:rsidR="00076776" w:rsidRDefault="00000000">
      <w:r>
        <w:t>@DissSource?</w:t>
      </w:r>
    </w:p>
    <w:p w14:paraId="3FD3E7A6" w14:textId="77777777" w:rsidR="00076776" w:rsidRDefault="00000000">
      <w:r>
        <w:t xml:space="preserve">Rob McMahon’s PhD dissertation, “Digital Self-Determination: Aboriginal Peoples and the Network Society in Canada,” offers some important insights regarding the links between networked digital infrastructure development and the autonomy and agency of Indigenous Peoples (2013, iv). </w:t>
      </w:r>
    </w:p>
    <w:p w14:paraId="3F6A8EF7" w14:textId="77777777" w:rsidR="00076776" w:rsidRDefault="00000000">
      <w:pPr>
        <w:pStyle w:val="Heading1"/>
      </w:pPr>
      <w:bookmarkStart w:id="26" w:name="_heading=h.2bn6wsx" w:colFirst="0" w:colLast="0"/>
      <w:bookmarkEnd w:id="26"/>
      <w:r>
        <w:t xml:space="preserve">*(2020) </w:t>
      </w:r>
      <w:proofErr w:type="spellStart"/>
      <w:r>
        <w:t>XemŦoltW</w:t>
      </w:r>
      <w:proofErr w:type="spellEnd"/>
      <w:r>
        <w:t>̱ (Claxton) &amp; Price, “Whose Land Is It? Rethinking Sovereignty in British Columbia”</w:t>
      </w:r>
    </w:p>
    <w:p w14:paraId="75FB7464" w14:textId="77777777" w:rsidR="00076776" w:rsidRDefault="00076776"/>
    <w:p w14:paraId="4AAD184A" w14:textId="77777777" w:rsidR="00076776" w:rsidRDefault="00000000">
      <w:pPr>
        <w:pStyle w:val="Heading2"/>
      </w:pPr>
      <w:r>
        <w:t>Abstract</w:t>
      </w:r>
    </w:p>
    <w:p w14:paraId="6D89A160" w14:textId="77777777" w:rsidR="00076776" w:rsidRDefault="00000000">
      <w:r>
        <w:t xml:space="preserve">Claxton and Price tackle the “land question,” past, present, and a future “in which reconciliation can rapidly </w:t>
      </w:r>
      <w:proofErr w:type="gramStart"/>
      <w:r>
        <w:t>proceed</w:t>
      </w:r>
      <w:proofErr w:type="gramEnd"/>
      <w:r>
        <w:t xml:space="preserve"> and people can together find ways to implement the place-based, relational ways of being one with the earth.”</w:t>
      </w:r>
    </w:p>
    <w:p w14:paraId="5400DF8D" w14:textId="77777777" w:rsidR="00076776" w:rsidRDefault="00076776"/>
    <w:p w14:paraId="408D11D8" w14:textId="77777777" w:rsidR="00076776" w:rsidRDefault="00000000">
      <w:pPr>
        <w:pStyle w:val="Heading2"/>
      </w:pPr>
      <w:r>
        <w:t>Key words</w:t>
      </w:r>
    </w:p>
    <w:p w14:paraId="7EF25B57" w14:textId="77777777" w:rsidR="00076776" w:rsidRDefault="00000000">
      <w:r>
        <w:t>reconciliation, Indigenous rights, sovereignty, land, title, history, resistance</w:t>
      </w:r>
    </w:p>
    <w:p w14:paraId="32A70A93" w14:textId="77777777" w:rsidR="00076776" w:rsidRDefault="00076776"/>
    <w:p w14:paraId="4D4D6784" w14:textId="77777777" w:rsidR="00076776" w:rsidRDefault="00000000">
      <w:pPr>
        <w:pStyle w:val="Heading2"/>
      </w:pPr>
      <w:r>
        <w:t>Essential quote</w:t>
      </w:r>
    </w:p>
    <w:p w14:paraId="2D89230C" w14:textId="77777777" w:rsidR="00076776" w:rsidRDefault="00000000">
      <w:r>
        <w:t>128: There is, however, an important distinction between land title (the ownership of property) and sovereignty (holding ultimate authority over the land).</w:t>
      </w:r>
    </w:p>
    <w:p w14:paraId="01125303" w14:textId="77777777" w:rsidR="00076776" w:rsidRDefault="00076776"/>
    <w:p w14:paraId="370750CA" w14:textId="77777777" w:rsidR="00076776" w:rsidRDefault="00000000">
      <w:pPr>
        <w:pStyle w:val="Heading2"/>
      </w:pPr>
      <w:r>
        <w:t>Terms</w:t>
      </w:r>
    </w:p>
    <w:p w14:paraId="2EB31FCA" w14:textId="77777777" w:rsidR="00076776" w:rsidRDefault="00000000">
      <w:r>
        <w:t xml:space="preserve">117: </w:t>
      </w:r>
      <w:r>
        <w:rPr>
          <w:b/>
        </w:rPr>
        <w:t>Doctrine of Discovery</w:t>
      </w:r>
      <w:r>
        <w:t>.</w:t>
      </w:r>
    </w:p>
    <w:p w14:paraId="28D7557C" w14:textId="77777777" w:rsidR="00076776" w:rsidRDefault="00000000">
      <w:r>
        <w:t xml:space="preserve">118: </w:t>
      </w:r>
      <w:r>
        <w:rPr>
          <w:b/>
        </w:rPr>
        <w:t>ÁLEṈENEȻ</w:t>
      </w:r>
      <w:r>
        <w:t>: “The W̱SÁNEĆ territorial homelands, or ÁLEṈENEȻ in our language, are vast. The ÁLEṈENEȻ includes the marine environment as much as it does the terrestrial environment.”</w:t>
      </w:r>
    </w:p>
    <w:p w14:paraId="67F74C5D" w14:textId="77777777" w:rsidR="00076776" w:rsidRDefault="00000000">
      <w:r>
        <w:t xml:space="preserve">119: </w:t>
      </w:r>
      <w:proofErr w:type="gramStart"/>
      <w:r>
        <w:rPr>
          <w:b/>
        </w:rPr>
        <w:t>LÁU,WELṈEW̱</w:t>
      </w:r>
      <w:proofErr w:type="gramEnd"/>
      <w:r>
        <w:t>: “…the place of refuge…”</w:t>
      </w:r>
    </w:p>
    <w:p w14:paraId="15396F38" w14:textId="77777777" w:rsidR="00076776" w:rsidRDefault="00000000">
      <w:r>
        <w:t xml:space="preserve">119: </w:t>
      </w:r>
      <w:r>
        <w:rPr>
          <w:b/>
        </w:rPr>
        <w:t>W̱SÁNEĆ</w:t>
      </w:r>
      <w:r>
        <w:t>: “…the emerging people…”</w:t>
      </w:r>
    </w:p>
    <w:p w14:paraId="576C6C3E" w14:textId="77777777" w:rsidR="00076776" w:rsidRDefault="00000000">
      <w:r>
        <w:t xml:space="preserve">119: </w:t>
      </w:r>
      <w:r>
        <w:rPr>
          <w:b/>
        </w:rPr>
        <w:t>SKÁLs</w:t>
      </w:r>
      <w:r>
        <w:t xml:space="preserve">: “…our laws and beliefs…” </w:t>
      </w:r>
    </w:p>
    <w:p w14:paraId="75816980" w14:textId="77777777" w:rsidR="00076776" w:rsidRDefault="00000000">
      <w:r>
        <w:t>119:</w:t>
      </w:r>
      <w:r>
        <w:rPr>
          <w:b/>
        </w:rPr>
        <w:t xml:space="preserve"> SOXHELI</w:t>
      </w:r>
      <w:r>
        <w:t xml:space="preserve">: “…the sacred stories of life…” </w:t>
      </w:r>
    </w:p>
    <w:p w14:paraId="00B951AF" w14:textId="77777777" w:rsidR="00076776" w:rsidRDefault="00000000">
      <w:r>
        <w:t xml:space="preserve">119: </w:t>
      </w:r>
      <w:r>
        <w:rPr>
          <w:b/>
        </w:rPr>
        <w:t>ĆELÁṈEN</w:t>
      </w:r>
      <w:r>
        <w:t>: “…birthright…”</w:t>
      </w:r>
    </w:p>
    <w:p w14:paraId="607F558D" w14:textId="77777777" w:rsidR="00076776" w:rsidRDefault="00000000">
      <w:r>
        <w:rPr>
          <w:highlight w:val="green"/>
        </w:rPr>
        <w:t>120</w:t>
      </w:r>
      <w:r>
        <w:t xml:space="preserve">: </w:t>
      </w:r>
      <w:r>
        <w:rPr>
          <w:b/>
        </w:rPr>
        <w:t>TEṈEW̱</w:t>
      </w:r>
      <w:r>
        <w:t>: “… word for ‘land’ … can be translated into ‘land,’ ‘soil,’ or ‘earth,’ it also has a deeper meaning. Literally it would translate into “my wish for the people,” which refers to the land as a gift to us from the Creator.”</w:t>
      </w:r>
    </w:p>
    <w:p w14:paraId="1001FE29" w14:textId="77777777" w:rsidR="00076776" w:rsidRDefault="00000000">
      <w:r>
        <w:t xml:space="preserve">120: </w:t>
      </w:r>
      <w:r>
        <w:rPr>
          <w:b/>
        </w:rPr>
        <w:t>ṮEṮÁĆES</w:t>
      </w:r>
      <w:r>
        <w:t>: “… word for ‘islands’ … but its deeper meaning is ‘relatives of the deep.’</w:t>
      </w:r>
    </w:p>
    <w:p w14:paraId="3780141B" w14:textId="77777777" w:rsidR="00076776" w:rsidRDefault="00000000">
      <w:r>
        <w:t xml:space="preserve">120: </w:t>
      </w:r>
      <w:proofErr w:type="spellStart"/>
      <w:r>
        <w:rPr>
          <w:b/>
        </w:rPr>
        <w:t>kincentric</w:t>
      </w:r>
      <w:proofErr w:type="spellEnd"/>
      <w:r>
        <w:rPr>
          <w:b/>
        </w:rPr>
        <w:t xml:space="preserve"> worldview</w:t>
      </w:r>
      <w:r>
        <w:t xml:space="preserve">: </w:t>
      </w:r>
      <w:proofErr w:type="gramStart"/>
      <w:r>
        <w:t>as a way to</w:t>
      </w:r>
      <w:proofErr w:type="gramEnd"/>
      <w:r>
        <w:t xml:space="preserve"> describe the relationships of land and relatives. </w:t>
      </w:r>
    </w:p>
    <w:p w14:paraId="479025E7" w14:textId="77777777" w:rsidR="00076776" w:rsidRDefault="00000000">
      <w:r>
        <w:lastRenderedPageBreak/>
        <w:t xml:space="preserve">120: </w:t>
      </w:r>
      <w:r>
        <w:rPr>
          <w:b/>
        </w:rPr>
        <w:t>NEHIMET</w:t>
      </w:r>
      <w:r>
        <w:t>: “This word means ‘rights, teachings, and history passed on through the family lineage.’ NEHIMET connects family members to their harvesting, property, and cultural and ceremonial rights. … The family and property rights, again, were not and could not be ceded, traded, or sold.</w:t>
      </w:r>
    </w:p>
    <w:p w14:paraId="000ADD72" w14:textId="77777777" w:rsidR="00076776" w:rsidRDefault="00000000">
      <w:r>
        <w:t xml:space="preserve">122: </w:t>
      </w:r>
      <w:proofErr w:type="spellStart"/>
      <w:r>
        <w:rPr>
          <w:b/>
          <w:i/>
        </w:rPr>
        <w:t>ḥahuułi</w:t>
      </w:r>
      <w:proofErr w:type="spellEnd"/>
      <w:r>
        <w:t xml:space="preserve"> (</w:t>
      </w:r>
      <w:proofErr w:type="spellStart"/>
      <w:r>
        <w:t>Mowachaht</w:t>
      </w:r>
      <w:proofErr w:type="spellEnd"/>
      <w:r>
        <w:t>/</w:t>
      </w:r>
      <w:proofErr w:type="spellStart"/>
      <w:r>
        <w:t>Muchalaht</w:t>
      </w:r>
      <w:proofErr w:type="spellEnd"/>
      <w:r>
        <w:t xml:space="preserve"> Peoples’ term): This term has often been translated as “territory,” but the English-language term does not capture the many layers of </w:t>
      </w:r>
      <w:proofErr w:type="spellStart"/>
      <w:r>
        <w:t>ḥahuułi</w:t>
      </w:r>
      <w:proofErr w:type="spellEnd"/>
      <w:r>
        <w:t xml:space="preserve">. As an </w:t>
      </w:r>
      <w:proofErr w:type="spellStart"/>
      <w:r>
        <w:t>Ahousat</w:t>
      </w:r>
      <w:proofErr w:type="spellEnd"/>
      <w:r>
        <w:t xml:space="preserve"> chief explains: “It is not ownership in the white sense; it is a river or other place that is shared by all Nuu-cha-</w:t>
      </w:r>
      <w:proofErr w:type="spellStart"/>
      <w:r>
        <w:t>nulth</w:t>
      </w:r>
      <w:proofErr w:type="spellEnd"/>
      <w:r>
        <w:t xml:space="preserve"> people, with a caretaker being hereditary chief of each site or village.”[20] </w:t>
      </w:r>
      <w:proofErr w:type="spellStart"/>
      <w:r>
        <w:t>Mowachaht</w:t>
      </w:r>
      <w:proofErr w:type="spellEnd"/>
      <w:r>
        <w:t>/</w:t>
      </w:r>
      <w:proofErr w:type="spellStart"/>
      <w:r>
        <w:t>Muchalaht</w:t>
      </w:r>
      <w:proofErr w:type="spellEnd"/>
      <w:r>
        <w:t xml:space="preserve"> Elders today continue to teach that </w:t>
      </w:r>
      <w:proofErr w:type="spellStart"/>
      <w:r>
        <w:rPr>
          <w:i/>
        </w:rPr>
        <w:t>ḥahuułi</w:t>
      </w:r>
      <w:proofErr w:type="spellEnd"/>
      <w:r>
        <w:t xml:space="preserve"> is a holistic notion of life anchored in the physical elements of land, water, and air that sustain it.</w:t>
      </w:r>
    </w:p>
    <w:p w14:paraId="3BDE1FAD" w14:textId="77777777" w:rsidR="00076776" w:rsidRDefault="00000000">
      <w:r>
        <w:t xml:space="preserve">122: </w:t>
      </w:r>
      <w:proofErr w:type="spellStart"/>
      <w:r>
        <w:rPr>
          <w:b/>
          <w:i/>
        </w:rPr>
        <w:t>ḥaw̓iih</w:t>
      </w:r>
      <w:proofErr w:type="spellEnd"/>
      <w:r>
        <w:t xml:space="preserve">: hereditary chiefs. </w:t>
      </w:r>
    </w:p>
    <w:p w14:paraId="537211B4" w14:textId="77777777" w:rsidR="00076776" w:rsidRDefault="00000000">
      <w:r>
        <w:t xml:space="preserve">122: </w:t>
      </w:r>
      <w:proofErr w:type="spellStart"/>
      <w:r>
        <w:rPr>
          <w:b/>
        </w:rPr>
        <w:t>ḤuupuK</w:t>
      </w:r>
      <w:r>
        <w:rPr>
          <w:b/>
          <w:vertAlign w:val="superscript"/>
        </w:rPr>
        <w:t>w</w:t>
      </w:r>
      <w:r>
        <w:rPr>
          <w:b/>
        </w:rPr>
        <w:t>anum</w:t>
      </w:r>
      <w:proofErr w:type="spellEnd"/>
      <w:r>
        <w:t>: “… meaning all that belongs, all that was sacred, and it included the family’s shared land, resources, rights, and privileges as well as hereditary objects, dances, and names… a clan’s “chest of treasures.” [22]</w:t>
      </w:r>
    </w:p>
    <w:p w14:paraId="5A1E1668" w14:textId="77777777" w:rsidR="00076776" w:rsidRDefault="00000000">
      <w:r>
        <w:t xml:space="preserve">134: </w:t>
      </w:r>
      <w:r>
        <w:rPr>
          <w:b/>
        </w:rPr>
        <w:t>Doctrine of Discovery</w:t>
      </w:r>
      <w:r>
        <w:t>: Assembly of First Nations definition is that it “emanates from a series of Papal Bulls (formal statements from the Pope) and extensions, originating in the 1400s. … During the European ‘Age of Discovery,’ Christian explorers ‘claimed’ lands for their monarchs who felt they could exploit the land, regardless of the original inhabitants.”</w:t>
      </w:r>
      <w:r>
        <w:rPr>
          <w:vertAlign w:val="superscript"/>
        </w:rPr>
        <w:t>67</w:t>
      </w:r>
      <w:r>
        <w:t xml:space="preserve"> The doctrine was applied initially by the Spanish and Portuguese to divide the world, but then was further refined by later imperial powers into the formula of “discovery, exploration and settlement” found in the 1846 treaty negotiations.</w:t>
      </w:r>
      <w:r>
        <w:rPr>
          <w:vertAlign w:val="superscript"/>
        </w:rPr>
        <w:t>68</w:t>
      </w:r>
    </w:p>
    <w:p w14:paraId="4F4E82D3" w14:textId="77777777" w:rsidR="00076776" w:rsidRDefault="00000000">
      <w:r>
        <w:t xml:space="preserve">137: </w:t>
      </w:r>
      <w:r>
        <w:rPr>
          <w:b/>
        </w:rPr>
        <w:t>separation resurgence</w:t>
      </w:r>
      <w:r>
        <w:t xml:space="preserve">: as discussed in </w:t>
      </w:r>
      <w:r>
        <w:rPr>
          <w:i/>
        </w:rPr>
        <w:t>Resurgence and Reconciliation</w:t>
      </w:r>
      <w:r>
        <w:t xml:space="preserve">, indicates the possible outcome of further divide between settlers and </w:t>
      </w:r>
      <w:proofErr w:type="spellStart"/>
      <w:r>
        <w:t>Indigneous</w:t>
      </w:r>
      <w:proofErr w:type="spellEnd"/>
      <w:r>
        <w:t xml:space="preserve"> states. They call, instead, for “‘reconciliation </w:t>
      </w:r>
      <w:r>
        <w:rPr>
          <w:i/>
        </w:rPr>
        <w:t>and</w:t>
      </w:r>
      <w:r>
        <w:t xml:space="preserve"> resurgence’ (emphasis in original) as ‘unique, place-based, kin-centric, and relational ways Indigenous people conceive and enact transformative change.’</w:t>
      </w:r>
      <w:r>
        <w:rPr>
          <w:vertAlign w:val="superscript"/>
        </w:rPr>
        <w:t>77</w:t>
      </w:r>
      <w:r>
        <w:t xml:space="preserve"> </w:t>
      </w:r>
    </w:p>
    <w:p w14:paraId="11FDB9D6" w14:textId="77777777" w:rsidR="00076776" w:rsidRDefault="00076776"/>
    <w:p w14:paraId="4DCF10C5" w14:textId="77777777" w:rsidR="00076776" w:rsidRDefault="00000000">
      <w:pPr>
        <w:pStyle w:val="Heading2"/>
      </w:pPr>
      <w:r>
        <w:t>Core quotes</w:t>
      </w:r>
    </w:p>
    <w:p w14:paraId="1BC34117" w14:textId="77777777" w:rsidR="00076776" w:rsidRDefault="00000000">
      <w:r>
        <w:t>116 @Arg@Resist@L?</w:t>
      </w:r>
    </w:p>
    <w:p w14:paraId="2CA4DBEF" w14:textId="77777777" w:rsidR="00076776" w:rsidRDefault="00000000">
      <w:r>
        <w:t xml:space="preserve">The premise of the paper: </w:t>
      </w:r>
    </w:p>
    <w:p w14:paraId="4B962BBA" w14:textId="77777777" w:rsidR="00076776" w:rsidRDefault="00000000">
      <w:pPr>
        <w:ind w:left="720"/>
      </w:pPr>
      <w:r>
        <w:t xml:space="preserve">In this article we attempt to understand the depth of this resistance by exploring how two First Nations – the W̱SÁNEĆ and </w:t>
      </w:r>
      <w:proofErr w:type="spellStart"/>
      <w:r>
        <w:t>Mowachaht</w:t>
      </w:r>
      <w:proofErr w:type="spellEnd"/>
      <w:r>
        <w:t>/</w:t>
      </w:r>
      <w:proofErr w:type="spellStart"/>
      <w:r>
        <w:t>Muchalaht</w:t>
      </w:r>
      <w:proofErr w:type="spellEnd"/>
      <w:r>
        <w:t xml:space="preserve"> communities whose traditional territories are on and around Vancouver Island – articulate in their own language their relationships to the land and to each other as well as their concepts of sovereignty.</w:t>
      </w:r>
    </w:p>
    <w:p w14:paraId="5B18587C" w14:textId="77777777" w:rsidR="00076776" w:rsidRDefault="00076776"/>
    <w:p w14:paraId="500765B0" w14:textId="77777777" w:rsidR="00076776" w:rsidRDefault="00000000">
      <w:r>
        <w:t>118 @Ontol@IndHist</w:t>
      </w:r>
    </w:p>
    <w:p w14:paraId="46D4E635" w14:textId="77777777" w:rsidR="00076776" w:rsidRDefault="00000000">
      <w:pPr>
        <w:ind w:firstLine="720"/>
      </w:pPr>
      <w:r>
        <w:t xml:space="preserve">The most important part of our W̱SÁNEĆ oral history is the story of </w:t>
      </w:r>
      <w:r>
        <w:rPr>
          <w:b/>
        </w:rPr>
        <w:t>the great flood</w:t>
      </w:r>
      <w:r>
        <w:t>.</w:t>
      </w:r>
    </w:p>
    <w:p w14:paraId="70904DDA" w14:textId="77777777" w:rsidR="00076776" w:rsidRDefault="00076776"/>
    <w:p w14:paraId="6B0792CA" w14:textId="77777777" w:rsidR="00076776" w:rsidRDefault="00000000">
      <w:r>
        <w:t xml:space="preserve">Story from “Earl Claxton Sr” begins on 4. </w:t>
      </w:r>
    </w:p>
    <w:p w14:paraId="1C972D1F" w14:textId="77777777" w:rsidR="00076776" w:rsidRDefault="00076776"/>
    <w:p w14:paraId="6EAABABA" w14:textId="77777777" w:rsidR="00076776" w:rsidRDefault="00000000">
      <w:r>
        <w:t>119 @Ontol@IndHist@Proto@Law</w:t>
      </w:r>
    </w:p>
    <w:p w14:paraId="26CA61D1" w14:textId="77777777" w:rsidR="00076776" w:rsidRDefault="00000000">
      <w:pPr>
        <w:tabs>
          <w:tab w:val="left" w:pos="8547"/>
        </w:tabs>
        <w:ind w:firstLine="720"/>
      </w:pPr>
      <w:r>
        <w:t xml:space="preserve">Stories like these were </w:t>
      </w:r>
      <w:r>
        <w:rPr>
          <w:b/>
        </w:rPr>
        <w:t>more than just stories: they were our reality</w:t>
      </w:r>
      <w:r>
        <w:t xml:space="preserve">. … </w:t>
      </w:r>
      <w:r>
        <w:tab/>
      </w:r>
    </w:p>
    <w:p w14:paraId="3D174626" w14:textId="77777777" w:rsidR="00076776" w:rsidRDefault="00076776">
      <w:pPr>
        <w:tabs>
          <w:tab w:val="left" w:pos="8547"/>
        </w:tabs>
      </w:pPr>
    </w:p>
    <w:p w14:paraId="40EAF4A0" w14:textId="77777777" w:rsidR="00076776" w:rsidRDefault="00000000">
      <w:pPr>
        <w:tabs>
          <w:tab w:val="left" w:pos="8547"/>
        </w:tabs>
      </w:pPr>
      <w:r>
        <w:t>120 @</w:t>
      </w:r>
      <w:proofErr w:type="gramStart"/>
      <w:r>
        <w:t>L?@</w:t>
      </w:r>
      <w:proofErr w:type="gramEnd"/>
      <w:r>
        <w:t>Ontol</w:t>
      </w:r>
    </w:p>
    <w:p w14:paraId="10B76948" w14:textId="77777777" w:rsidR="00076776" w:rsidRDefault="00000000">
      <w:pPr>
        <w:tabs>
          <w:tab w:val="left" w:pos="8547"/>
        </w:tabs>
        <w:ind w:left="720"/>
      </w:pPr>
      <w:r>
        <w:t xml:space="preserve">The land was a gift that was invaluable and that, within the </w:t>
      </w:r>
      <w:r>
        <w:rPr>
          <w:b/>
        </w:rPr>
        <w:t>W̱SÁNEĆ worldview</w:t>
      </w:r>
      <w:r>
        <w:t xml:space="preserve">, could not be ceded or sold. … It would have been like selling your own flesh and blood. In the SENĆOŦEN language, many parts of the natural world were referred to as relatives. </w:t>
      </w:r>
      <w:r>
        <w:lastRenderedPageBreak/>
        <w:t>Salmon, trees, deer, killer whales, even landforms were all considered to be relatives with human-like spirits.</w:t>
      </w:r>
    </w:p>
    <w:p w14:paraId="674EA9C0" w14:textId="77777777" w:rsidR="00076776" w:rsidRDefault="00076776">
      <w:pPr>
        <w:tabs>
          <w:tab w:val="left" w:pos="8547"/>
        </w:tabs>
      </w:pPr>
    </w:p>
    <w:p w14:paraId="4FD3063D" w14:textId="77777777" w:rsidR="00076776" w:rsidRDefault="00000000">
      <w:pPr>
        <w:tabs>
          <w:tab w:val="left" w:pos="8547"/>
        </w:tabs>
      </w:pPr>
      <w:r>
        <w:t>122 @</w:t>
      </w:r>
      <w:proofErr w:type="gramStart"/>
      <w:r>
        <w:t>L?@</w:t>
      </w:r>
      <w:proofErr w:type="gramEnd"/>
      <w:r>
        <w:t>Ontol@IndHist</w:t>
      </w:r>
    </w:p>
    <w:p w14:paraId="6DA323AE" w14:textId="77777777" w:rsidR="00076776" w:rsidRDefault="00000000">
      <w:pPr>
        <w:tabs>
          <w:tab w:val="left" w:pos="8547"/>
        </w:tabs>
      </w:pPr>
      <w:r>
        <w:t>Mowachaht/</w:t>
      </w:r>
      <w:proofErr w:type="spellStart"/>
      <w:r>
        <w:t>Muchalaht</w:t>
      </w:r>
      <w:proofErr w:type="spellEnd"/>
      <w:r>
        <w:t xml:space="preserve"> worldview section starts. So much to note, but here’s some selections: </w:t>
      </w:r>
    </w:p>
    <w:p w14:paraId="269CBC07" w14:textId="77777777" w:rsidR="00076776" w:rsidRDefault="00076776">
      <w:pPr>
        <w:tabs>
          <w:tab w:val="left" w:pos="8547"/>
        </w:tabs>
      </w:pPr>
    </w:p>
    <w:p w14:paraId="65E62F15" w14:textId="77777777" w:rsidR="00076776" w:rsidRDefault="00000000">
      <w:pPr>
        <w:ind w:left="720"/>
      </w:pPr>
      <w:r>
        <w:t xml:space="preserve">@IndHist Around the beginning of the twentieth century the </w:t>
      </w:r>
      <w:proofErr w:type="spellStart"/>
      <w:r>
        <w:t>Muchalaht</w:t>
      </w:r>
      <w:proofErr w:type="spellEnd"/>
      <w:r>
        <w:t xml:space="preserve"> people joined the </w:t>
      </w:r>
      <w:proofErr w:type="spellStart"/>
      <w:r>
        <w:t>Mowachaht</w:t>
      </w:r>
      <w:proofErr w:type="spellEnd"/>
      <w:r>
        <w:t xml:space="preserve"> and built their big houses at </w:t>
      </w:r>
      <w:proofErr w:type="spellStart"/>
      <w:r>
        <w:t>Yuquot</w:t>
      </w:r>
      <w:proofErr w:type="spellEnd"/>
      <w:r>
        <w:t xml:space="preserve"> as part of the confederacy.</w:t>
      </w:r>
    </w:p>
    <w:p w14:paraId="4AA930F7" w14:textId="77777777" w:rsidR="00076776" w:rsidRDefault="00076776"/>
    <w:p w14:paraId="57C842A1" w14:textId="77777777" w:rsidR="00076776" w:rsidRDefault="00000000">
      <w:pPr>
        <w:ind w:left="720"/>
      </w:pPr>
      <w:r>
        <w:t>@Proto@Ontol@</w:t>
      </w:r>
      <w:proofErr w:type="gramStart"/>
      <w:r>
        <w:t>Link:</w:t>
      </w:r>
      <w:r>
        <w:rPr>
          <w:highlight w:val="magenta"/>
        </w:rPr>
        <w:t>Umeek</w:t>
      </w:r>
      <w:proofErr w:type="gramEnd"/>
      <w:r>
        <w:t xml:space="preserve"> Respect for the </w:t>
      </w:r>
      <w:proofErr w:type="spellStart"/>
      <w:r>
        <w:t>ḥahuułi</w:t>
      </w:r>
      <w:proofErr w:type="spellEnd"/>
      <w:r>
        <w:t xml:space="preserve"> required visitors to follow appropriate protocols when approaching, and </w:t>
      </w:r>
      <w:proofErr w:type="spellStart"/>
      <w:r>
        <w:t>beachkeepers</w:t>
      </w:r>
      <w:proofErr w:type="spellEnd"/>
      <w:r>
        <w:t xml:space="preserve"> (families with the responsibility for guarding the territory) kept an eye out to protect the </w:t>
      </w:r>
      <w:proofErr w:type="spellStart"/>
      <w:r>
        <w:t>ḥahuułi</w:t>
      </w:r>
      <w:proofErr w:type="spellEnd"/>
      <w:r>
        <w:t>.</w:t>
      </w:r>
    </w:p>
    <w:p w14:paraId="38B0FE98" w14:textId="77777777" w:rsidR="00076776" w:rsidRDefault="00076776">
      <w:pPr>
        <w:ind w:left="720"/>
      </w:pPr>
    </w:p>
    <w:p w14:paraId="7923DA77" w14:textId="77777777" w:rsidR="00076776" w:rsidRDefault="00000000">
      <w:pPr>
        <w:ind w:left="720"/>
      </w:pPr>
      <w:r>
        <w:t>@ISr@IndHist@Hist@L?</w:t>
      </w:r>
    </w:p>
    <w:p w14:paraId="6F8111D8" w14:textId="77777777" w:rsidR="00076776" w:rsidRDefault="00000000">
      <w:pPr>
        <w:ind w:left="720"/>
      </w:pPr>
      <w:r>
        <w:rPr>
          <w:highlight w:val="magenta"/>
        </w:rPr>
        <w:t>Cook</w:t>
      </w:r>
      <w:r>
        <w:t xml:space="preserve"> noted: ‘Here I must observe that I have no were [</w:t>
      </w:r>
      <w:proofErr w:type="gramStart"/>
      <w:r>
        <w:t>sic</w:t>
      </w:r>
      <w:proofErr w:type="gramEnd"/>
      <w:r>
        <w:t xml:space="preserve">] met with Indians who had such high notions of </w:t>
      </w:r>
      <w:proofErr w:type="spellStart"/>
      <w:proofErr w:type="gramStart"/>
      <w:r>
        <w:t>every thing</w:t>
      </w:r>
      <w:proofErr w:type="spellEnd"/>
      <w:proofErr w:type="gramEnd"/>
      <w:r>
        <w:t xml:space="preserve"> the Country produced being their exclusive property….</w:t>
      </w:r>
    </w:p>
    <w:p w14:paraId="45968D05" w14:textId="77777777" w:rsidR="00076776" w:rsidRDefault="00000000">
      <w:pPr>
        <w:ind w:left="720"/>
      </w:pPr>
      <w:r>
        <w:rPr>
          <w:highlight w:val="magenta"/>
        </w:rPr>
        <w:t>John Meares</w:t>
      </w:r>
      <w:r>
        <w:t xml:space="preserve">, who visited </w:t>
      </w:r>
      <w:proofErr w:type="spellStart"/>
      <w:r>
        <w:t>Yuquot</w:t>
      </w:r>
      <w:proofErr w:type="spellEnd"/>
      <w:r>
        <w:t xml:space="preserve"> in 1788, observed: ‘Maquilla ... is the sovereign of this territory…’ [124] Galiano, the Spanish explorer, noted: ‘</w:t>
      </w:r>
      <w:proofErr w:type="spellStart"/>
      <w:r>
        <w:t>Macuina</w:t>
      </w:r>
      <w:proofErr w:type="spellEnd"/>
      <w:r>
        <w:t xml:space="preserve"> was endowed with remarkable ability and quickness of intelligence, and knew very well his rights as a sovereign.’</w:t>
      </w:r>
    </w:p>
    <w:p w14:paraId="3BACD4E7" w14:textId="77777777" w:rsidR="00076776" w:rsidRDefault="00076776"/>
    <w:p w14:paraId="707084D2" w14:textId="77777777" w:rsidR="00076776" w:rsidRDefault="00000000">
      <w:r>
        <w:rPr>
          <w:highlight w:val="green"/>
        </w:rPr>
        <w:t>126</w:t>
      </w:r>
      <w:r>
        <w:t xml:space="preserve"> @Geno@Stats@IndHist</w:t>
      </w:r>
    </w:p>
    <w:p w14:paraId="27A46380" w14:textId="77777777" w:rsidR="00076776" w:rsidRDefault="00000000">
      <w:pPr>
        <w:ind w:left="720"/>
      </w:pPr>
      <w:r>
        <w:t xml:space="preserve">By 1920, only thirty-eight </w:t>
      </w:r>
      <w:proofErr w:type="spellStart"/>
      <w:r>
        <w:t>Mowachaht</w:t>
      </w:r>
      <w:proofErr w:type="spellEnd"/>
      <w:r>
        <w:t>/</w:t>
      </w:r>
      <w:proofErr w:type="spellStart"/>
      <w:r>
        <w:t>Muchalaht</w:t>
      </w:r>
      <w:proofErr w:type="spellEnd"/>
      <w:r>
        <w:t xml:space="preserve"> under the age of twenty survived. For the whole of the province, demographers have estimated that </w:t>
      </w:r>
      <w:r>
        <w:rPr>
          <w:b/>
        </w:rPr>
        <w:t>First Nations populations declined by 75 to 90 percent in the first 150 years after contact</w:t>
      </w:r>
      <w:r>
        <w:t>. [37]</w:t>
      </w:r>
      <w:r>
        <w:rPr>
          <w:b/>
        </w:rPr>
        <w:t xml:space="preserve"> </w:t>
      </w:r>
    </w:p>
    <w:p w14:paraId="6889FF0A" w14:textId="77777777" w:rsidR="00076776" w:rsidRDefault="00000000">
      <w:pPr>
        <w:ind w:left="1440"/>
      </w:pPr>
      <w:r>
        <w:t xml:space="preserve">[37] Mary-Ellen Kelm, </w:t>
      </w:r>
      <w:r>
        <w:rPr>
          <w:i/>
        </w:rPr>
        <w:t>Colonizing Bodies: Aboriginal Health and Healing in British Columbia, 1900–1950</w:t>
      </w:r>
      <w:r>
        <w:t xml:space="preserve"> (Vancouver: UBC Press, 1998), 4.</w:t>
      </w:r>
    </w:p>
    <w:p w14:paraId="1109FECC" w14:textId="77777777" w:rsidR="00076776" w:rsidRDefault="00076776"/>
    <w:p w14:paraId="47809B9F" w14:textId="77777777" w:rsidR="00076776" w:rsidRDefault="00000000">
      <w:r>
        <w:t xml:space="preserve">128 </w:t>
      </w:r>
      <w:r>
        <w:rPr>
          <w:b/>
        </w:rPr>
        <w:t>Crown Sovereignty and the Treaty of Oregon section</w:t>
      </w:r>
      <w:r>
        <w:t xml:space="preserve"> </w:t>
      </w:r>
      <w:proofErr w:type="gramStart"/>
      <w:r>
        <w:t>starts</w:t>
      </w:r>
      <w:proofErr w:type="gramEnd"/>
      <w:r>
        <w:t xml:space="preserve">… </w:t>
      </w:r>
    </w:p>
    <w:p w14:paraId="2BDEEF7D" w14:textId="77777777" w:rsidR="00076776" w:rsidRDefault="00076776"/>
    <w:p w14:paraId="22966840" w14:textId="77777777" w:rsidR="00076776" w:rsidRDefault="00000000">
      <w:pPr>
        <w:rPr>
          <w:highlight w:val="green"/>
        </w:rPr>
      </w:pPr>
      <w:r>
        <w:rPr>
          <w:highlight w:val="green"/>
        </w:rPr>
        <w:t>@</w:t>
      </w:r>
      <w:proofErr w:type="gramStart"/>
      <w:r>
        <w:rPr>
          <w:highlight w:val="green"/>
        </w:rPr>
        <w:t>L?@</w:t>
      </w:r>
      <w:proofErr w:type="gramEnd"/>
      <w:r>
        <w:rPr>
          <w:highlight w:val="green"/>
        </w:rPr>
        <w:t>IRs@Gov@IndHist</w:t>
      </w:r>
    </w:p>
    <w:p w14:paraId="7F2A30EB" w14:textId="77777777" w:rsidR="00076776" w:rsidRDefault="00000000">
      <w:pPr>
        <w:ind w:left="720"/>
      </w:pPr>
      <w:r>
        <w:t>However, we retain the term “</w:t>
      </w:r>
      <w:r>
        <w:rPr>
          <w:b/>
        </w:rPr>
        <w:t>sovereignty</w:t>
      </w:r>
      <w:r>
        <w:t xml:space="preserve">” because we believe: (1) it closely approximates the important notion of a given body politic being the supreme authority over specific territory, a notion integral to W̱SÁNEĆ and </w:t>
      </w:r>
      <w:proofErr w:type="spellStart"/>
      <w:r>
        <w:t>Mowachaht</w:t>
      </w:r>
      <w:proofErr w:type="spellEnd"/>
      <w:r>
        <w:t>/</w:t>
      </w:r>
      <w:proofErr w:type="spellStart"/>
      <w:r>
        <w:t>Muchalaht</w:t>
      </w:r>
      <w:proofErr w:type="spellEnd"/>
      <w:r>
        <w:t xml:space="preserve"> stories, and (2) it cuts to the chase regarding the fundamental issues arising from recent court decisions regarding control of the territory now known as British Columbia. </w:t>
      </w:r>
    </w:p>
    <w:p w14:paraId="10A3A721" w14:textId="77777777" w:rsidR="00076776" w:rsidRDefault="00000000">
      <w:pPr>
        <w:ind w:left="720"/>
      </w:pPr>
      <w:r>
        <w:t xml:space="preserve">[129] In the past few decades, a limiting concept of Aboriginal title has recently found some recognition in the courts. This began with Supreme Court of Canada decisions, including Calder in 1973 through the </w:t>
      </w:r>
      <w:r>
        <w:rPr>
          <w:b/>
        </w:rPr>
        <w:t>Tsilhqot’in decision in 2014</w:t>
      </w:r>
      <w:r>
        <w:t xml:space="preserve">, as well as constitutionally, with the adoption of section 35 of the Constitution Act in 1982.[48] </w:t>
      </w:r>
      <w:r>
        <w:rPr>
          <w:b/>
        </w:rPr>
        <w:t>There is, however, an important distinction between land title (the ownership of property) and sovereignty (holding ultimate authority over the land).</w:t>
      </w:r>
      <w:r>
        <w:t xml:space="preserve"> Today, Canadian courts at all levels persist in asserting that Aboriginal title, to whatever extent it may exist, remains subordinate to Crown sovereignty and that the Crown gained sovereignty over what would become British Columbia only in 1846 when the British signed the Treaty of Oregon with the United States. This assertion was based on earlier </w:t>
      </w:r>
      <w:r>
        <w:lastRenderedPageBreak/>
        <w:t xml:space="preserve">court rulings, particularly </w:t>
      </w:r>
      <w:r>
        <w:rPr>
          <w:i/>
        </w:rPr>
        <w:t>Calder et al. v. Attorney-General of B.C</w:t>
      </w:r>
      <w:r>
        <w:t>., in which the Supreme Court of Canada asserted that the Royal Proclamation of 1763 did not apply to British Columbia…</w:t>
      </w:r>
    </w:p>
    <w:p w14:paraId="714F44EC" w14:textId="77777777" w:rsidR="00076776" w:rsidRDefault="00076776"/>
    <w:p w14:paraId="09140AD2" w14:textId="77777777" w:rsidR="00076776" w:rsidRDefault="00000000">
      <w:r>
        <w:t>129 @Law@TN</w:t>
      </w:r>
    </w:p>
    <w:p w14:paraId="60EFE225" w14:textId="77777777" w:rsidR="00076776" w:rsidRDefault="00000000">
      <w:pPr>
        <w:ind w:left="720"/>
      </w:pPr>
      <w:r>
        <w:t xml:space="preserve">[from footnote] “The 2014 Supreme Court of Canada’s </w:t>
      </w:r>
      <w:r>
        <w:rPr>
          <w:b/>
        </w:rPr>
        <w:t xml:space="preserve">Tsilhqot’in ruling was a landmark </w:t>
      </w:r>
      <w:r>
        <w:t xml:space="preserve">in that it recognized that the Tsilhqot’in occupied and governed large sections of territory prior to contact and awarded them “title” over some 1,750 square kilometres of land near Williams Lake. Furthermore, the Supreme Court of Canada declared that the concept of </w:t>
      </w:r>
      <w:r>
        <w:rPr>
          <w:i/>
        </w:rPr>
        <w:t>terra nullius</w:t>
      </w:r>
      <w:r>
        <w:t>, that the lands were uninhabited, was invalid.”</w:t>
      </w:r>
    </w:p>
    <w:p w14:paraId="6DC386B2" w14:textId="77777777" w:rsidR="00076776" w:rsidRDefault="00076776"/>
    <w:p w14:paraId="01135207" w14:textId="77777777" w:rsidR="00076776" w:rsidRDefault="00000000">
      <w:r>
        <w:t>@</w:t>
      </w:r>
      <w:proofErr w:type="gramStart"/>
      <w:r>
        <w:t>Motherlode!@L?@</w:t>
      </w:r>
      <w:proofErr w:type="gramEnd"/>
      <w:r>
        <w:t>Law@ManDest@DoD</w:t>
      </w:r>
    </w:p>
    <w:p w14:paraId="5D3E97A7" w14:textId="77777777" w:rsidR="00076776" w:rsidRDefault="00000000">
      <w:proofErr w:type="spellStart"/>
      <w:r>
        <w:t>R.e</w:t>
      </w:r>
      <w:proofErr w:type="spellEnd"/>
      <w:r>
        <w:t xml:space="preserve">., Pakenham’s case for British sovereignty in final negotiations for Treaty of ‘46: </w:t>
      </w:r>
    </w:p>
    <w:p w14:paraId="454CDBF4" w14:textId="77777777" w:rsidR="00076776" w:rsidRDefault="00000000">
      <w:pPr>
        <w:ind w:left="720"/>
      </w:pPr>
      <w:r>
        <w:t xml:space="preserve">… final set of negotiations in 1845, the British representative in Washington, Richard Pakenham, offered the following summary: “the claims of Great Britain, </w:t>
      </w:r>
      <w:r>
        <w:rPr>
          <w:b/>
        </w:rPr>
        <w:t>resting on discovery, exploration and settlement</w:t>
      </w:r>
      <w:r>
        <w:t>, are in point of principle equally valid with those of the United States.”59</w:t>
      </w:r>
    </w:p>
    <w:p w14:paraId="309EEF5E" w14:textId="77777777" w:rsidR="00076776" w:rsidRDefault="00076776"/>
    <w:p w14:paraId="5C51A6D0" w14:textId="77777777" w:rsidR="00076776" w:rsidRDefault="00000000">
      <w:r>
        <w:t xml:space="preserve">What follows is Pakenham’s full statement, p. 132-33. Essentially, Vancouver mapped VI in 1792, and, therefore, it’s British: </w:t>
      </w:r>
    </w:p>
    <w:p w14:paraId="43796635" w14:textId="77777777" w:rsidR="00076776" w:rsidRDefault="00076776"/>
    <w:p w14:paraId="2352E7A2" w14:textId="77777777" w:rsidR="00076776" w:rsidRDefault="00000000">
      <w:pPr>
        <w:ind w:left="720"/>
      </w:pPr>
      <w:r>
        <w:t>…circumnavigated the island that which now bears his name; and here we have, as far as relates to Vancouver’s Island, as complete a case of discovery, exploration, and settlement, as can well be presented, giving to Great Britain, in any arrangement that may be made with regards to the territory in dispute, the strongest possible claim to the exclusive possession of that island.</w:t>
      </w:r>
    </w:p>
    <w:p w14:paraId="3E8CE64D" w14:textId="77777777" w:rsidR="00076776" w:rsidRDefault="00076776"/>
    <w:p w14:paraId="3E6BF782" w14:textId="77777777" w:rsidR="00076776" w:rsidRDefault="00000000">
      <w:r>
        <w:t>133 @Stats@IndHist@Border</w:t>
      </w:r>
    </w:p>
    <w:p w14:paraId="4F030068" w14:textId="77777777" w:rsidR="00076776" w:rsidRDefault="00000000">
      <w:pPr>
        <w:ind w:left="720"/>
      </w:pPr>
      <w:r>
        <w:t xml:space="preserve">According to one source, </w:t>
      </w:r>
      <w:r>
        <w:rPr>
          <w:b/>
        </w:rPr>
        <w:t>only forty Americans were living north of the Columbia River in 1846</w:t>
      </w:r>
      <w:r>
        <w:t>.</w:t>
      </w:r>
      <w:r>
        <w:rPr>
          <w:vertAlign w:val="superscript"/>
        </w:rPr>
        <w:t>63</w:t>
      </w:r>
      <w:r>
        <w:t xml:space="preserve"> As for the British, employees of the Hudson’s Bay Company numbered a few hundred at the most (including </w:t>
      </w:r>
      <w:proofErr w:type="spellStart"/>
      <w:r>
        <w:t>Kānaka</w:t>
      </w:r>
      <w:proofErr w:type="spellEnd"/>
      <w:r>
        <w:t xml:space="preserve"> Maoli) while the Indigenous population in this territory was probably between 100,000 and 200,000.</w:t>
      </w:r>
      <w:r>
        <w:rPr>
          <w:vertAlign w:val="superscript"/>
        </w:rPr>
        <w:t>64</w:t>
      </w:r>
    </w:p>
    <w:p w14:paraId="413368E1" w14:textId="77777777" w:rsidR="00076776" w:rsidRDefault="00076776">
      <w:pPr>
        <w:rPr>
          <w:vertAlign w:val="superscript"/>
        </w:rPr>
      </w:pPr>
    </w:p>
    <w:p w14:paraId="6C4B4412" w14:textId="77777777" w:rsidR="00076776" w:rsidRDefault="00000000">
      <w:r>
        <w:t>@Arg@</w:t>
      </w:r>
      <w:proofErr w:type="gramStart"/>
      <w:r>
        <w:t>L?@</w:t>
      </w:r>
      <w:proofErr w:type="gramEnd"/>
      <w:r>
        <w:t>Law@ManDest@DoD</w:t>
      </w:r>
    </w:p>
    <w:p w14:paraId="1E7F598E" w14:textId="77777777" w:rsidR="00076776" w:rsidRDefault="00000000">
      <w:pPr>
        <w:ind w:left="720"/>
      </w:pPr>
      <w:r>
        <w:t xml:space="preserve">… the Canadian courts’ persistence in claiming that the Crown asserted sovereignty over British Columbia </w:t>
      </w:r>
      <w:proofErr w:type="gramStart"/>
      <w:r>
        <w:t>on the basis of</w:t>
      </w:r>
      <w:proofErr w:type="gramEnd"/>
      <w:r>
        <w:t xml:space="preserve"> the 1846 Treaty of Oregon is nothing less than a present-day reassertion of the outdated colonial “Doctrine of Discovery.”</w:t>
      </w:r>
    </w:p>
    <w:p w14:paraId="169B6F89" w14:textId="77777777" w:rsidR="00076776" w:rsidRDefault="00076776"/>
    <w:p w14:paraId="6412912A" w14:textId="77777777" w:rsidR="00076776" w:rsidRDefault="00000000">
      <w:r>
        <w:t>134-35 @ISr@DoD@Law@TN@Erase</w:t>
      </w:r>
    </w:p>
    <w:p w14:paraId="3757F384" w14:textId="77777777" w:rsidR="00076776" w:rsidRDefault="00000000">
      <w:r>
        <w:rPr>
          <w:b/>
        </w:rPr>
        <w:t>TRC report</w:t>
      </w:r>
      <w:r>
        <w:t xml:space="preserve"> calls for…</w:t>
      </w:r>
    </w:p>
    <w:p w14:paraId="4425E113" w14:textId="77777777" w:rsidR="00076776" w:rsidRDefault="00000000">
      <w:pPr>
        <w:ind w:left="720"/>
      </w:pPr>
      <w:r>
        <w:t>Canadian governments to jointly develop with Indigenous peoples a new Royal Proclamation and Covenant of Reconciliation that would “</w:t>
      </w:r>
      <w:proofErr w:type="spellStart"/>
      <w:r>
        <w:t>i</w:t>
      </w:r>
      <w:proofErr w:type="spellEnd"/>
      <w:r>
        <w:t xml:space="preserve">. </w:t>
      </w:r>
      <w:r>
        <w:rPr>
          <w:b/>
        </w:rPr>
        <w:t>repudiate concepts used to justify European sovereignty over Indigenous lands and peoples</w:t>
      </w:r>
      <w:r>
        <w:t xml:space="preserve"> such as the Doctrine of Discovery and </w:t>
      </w:r>
      <w:r>
        <w:rPr>
          <w:i/>
        </w:rPr>
        <w:t>terra nullius</w:t>
      </w:r>
      <w:r>
        <w:t>” (Article 45.1 – erasure of Indigenous peoples who occupied the lands).</w:t>
      </w:r>
    </w:p>
    <w:p w14:paraId="7C3872BC" w14:textId="77777777" w:rsidR="00076776" w:rsidRDefault="00076776"/>
    <w:p w14:paraId="1C969886" w14:textId="77777777" w:rsidR="00076776" w:rsidRDefault="00000000">
      <w:r>
        <w:lastRenderedPageBreak/>
        <w:t>135 @Racism@Law@ISr@MandDest@Hist@Gov</w:t>
      </w:r>
    </w:p>
    <w:p w14:paraId="58661AAE" w14:textId="77777777" w:rsidR="00076776" w:rsidRDefault="00000000">
      <w:pPr>
        <w:ind w:left="720"/>
      </w:pPr>
      <w:r>
        <w:t xml:space="preserve">…after joining the Canadian federation in 1871, the BC legislature immediately </w:t>
      </w:r>
      <w:r>
        <w:rPr>
          <w:b/>
        </w:rPr>
        <w:t>passed revisions to the electoral code, prohibiting First Nations and Chinese Canadians from voting in 1872</w:t>
      </w:r>
      <w:r>
        <w:t xml:space="preserve">, leaving a minority </w:t>
      </w:r>
      <w:r>
        <w:rPr>
          <w:b/>
        </w:rPr>
        <w:t>of ten thousand white settlers to dominate the estimated forty thousand Indigenous and Chinese people</w:t>
      </w:r>
      <w:r>
        <w:t xml:space="preserve"> then in the province.</w:t>
      </w:r>
    </w:p>
    <w:p w14:paraId="601A626C" w14:textId="77777777" w:rsidR="00076776" w:rsidRDefault="00076776"/>
    <w:p w14:paraId="6F3EA193" w14:textId="77777777" w:rsidR="00076776" w:rsidRDefault="00000000">
      <w:r>
        <w:rPr>
          <w:highlight w:val="green"/>
        </w:rPr>
        <w:t>136</w:t>
      </w:r>
      <w:r>
        <w:t xml:space="preserve"> @Arg@Law@</w:t>
      </w:r>
      <w:proofErr w:type="gramStart"/>
      <w:r>
        <w:t>L?@</w:t>
      </w:r>
      <w:proofErr w:type="gramEnd"/>
      <w:r>
        <w:t>SettPsych@MandDest@DoD</w:t>
      </w:r>
    </w:p>
    <w:p w14:paraId="50C96429" w14:textId="77777777" w:rsidR="00076776" w:rsidRDefault="00000000">
      <w:pPr>
        <w:ind w:left="720"/>
      </w:pPr>
      <w:r>
        <w:t xml:space="preserve">We further suggest that the notion of sovereignty and related laws of governance were in place long before “British Columbia” came into existence and that these nations have persisted in defending their lands since contact. We conclude, therefore, that the W̱SÁNEĆ and </w:t>
      </w:r>
      <w:proofErr w:type="spellStart"/>
      <w:r>
        <w:t>Mowachaht</w:t>
      </w:r>
      <w:proofErr w:type="spellEnd"/>
      <w:r>
        <w:t>/</w:t>
      </w:r>
      <w:proofErr w:type="spellStart"/>
      <w:r>
        <w:t>Muchalaht</w:t>
      </w:r>
      <w:proofErr w:type="spellEnd"/>
      <w:r>
        <w:t xml:space="preserve"> Nations have every right to exercise sovereignty over their traditional territories and that this transcends, legally and otherwise, any claims to sovereignty by the Crown. … </w:t>
      </w:r>
      <w:r>
        <w:rPr>
          <w:b/>
        </w:rPr>
        <w:t>Rather than First Nations having to go to court to make a title claim, perhaps it is time that the Crown be brought to trial and be obliged to prove by what right it can claim sovereignty over the province</w:t>
      </w:r>
      <w:r>
        <w:t>?</w:t>
      </w:r>
    </w:p>
    <w:p w14:paraId="591457FA" w14:textId="77777777" w:rsidR="00076776" w:rsidRDefault="00076776"/>
    <w:p w14:paraId="7C7FFEEA" w14:textId="77777777" w:rsidR="00076776" w:rsidRDefault="00000000">
      <w:r>
        <w:t>137 @</w:t>
      </w:r>
      <w:proofErr w:type="gramStart"/>
      <w:r>
        <w:t>L?@</w:t>
      </w:r>
      <w:proofErr w:type="gramEnd"/>
      <w:r>
        <w:t>Contracolonial@ISr</w:t>
      </w:r>
    </w:p>
    <w:p w14:paraId="556342D4" w14:textId="77777777" w:rsidR="00076776" w:rsidRDefault="00000000">
      <w:pPr>
        <w:ind w:left="720"/>
      </w:pPr>
      <w:r>
        <w:t>First Nations Leadership Council in British Columbia: ‘The term ‘reconciliation’ is often used to evoke what must occur to improve and structure the relationship between Aboriginal Peoples and the Crown. It is often not emphasized, however, that reconciliation in the context of the relationship between Aboriginal Peoples and the Crown is about sovereignty.”</w:t>
      </w:r>
      <w:r>
        <w:rPr>
          <w:vertAlign w:val="superscript"/>
        </w:rPr>
        <w:t>78</w:t>
      </w:r>
      <w:r>
        <w:t xml:space="preserve"> We concur. … </w:t>
      </w:r>
      <w:r>
        <w:rPr>
          <w:b/>
        </w:rPr>
        <w:t>For us, moving reconciliation forward will depend very much on the degree to which the settler government in this province is willing to recognize, in words and actions, Indigenous sovereignty over the land</w:t>
      </w:r>
      <w:r>
        <w:t>.</w:t>
      </w:r>
    </w:p>
    <w:p w14:paraId="5C07A78A" w14:textId="77777777" w:rsidR="00076776" w:rsidRDefault="00076776"/>
    <w:p w14:paraId="2CB341E2" w14:textId="77777777" w:rsidR="00076776" w:rsidRDefault="00000000">
      <w:pPr>
        <w:pStyle w:val="Heading2"/>
      </w:pPr>
      <w:r>
        <w:t>Secondary quotes</w:t>
      </w:r>
    </w:p>
    <w:p w14:paraId="73F35264" w14:textId="77777777" w:rsidR="00076776" w:rsidRDefault="00000000">
      <w:r>
        <w:t>115-16 @</w:t>
      </w:r>
      <w:proofErr w:type="gramStart"/>
      <w:r>
        <w:t>Resist!@</w:t>
      </w:r>
      <w:proofErr w:type="gramEnd"/>
      <w:r>
        <w:t xml:space="preserve">IndHist: list of groups </w:t>
      </w:r>
      <w:proofErr w:type="gramStart"/>
      <w:r>
        <w:t>an</w:t>
      </w:r>
      <w:proofErr w:type="gramEnd"/>
      <w:r>
        <w:t xml:space="preserve"> Peoples who resisted and resist colonization. / 116 Position statements: “Claxton as a member of the W̱ SÁNEĆ Nation and Price as a researcher who has worked with the </w:t>
      </w:r>
      <w:proofErr w:type="spellStart"/>
      <w:r>
        <w:t>Mowachaht</w:t>
      </w:r>
      <w:proofErr w:type="spellEnd"/>
      <w:r>
        <w:t>/</w:t>
      </w:r>
      <w:proofErr w:type="spellStart"/>
      <w:r>
        <w:t>Muchalaht</w:t>
      </w:r>
      <w:proofErr w:type="spellEnd"/>
      <w:r>
        <w:t xml:space="preserve"> for the past four years and has obtained their consent to publish his findings.” / 117 “W̱SÁNEĆ Worldviews: According to Oral History,” and John Elliot quote, followed by list of </w:t>
      </w:r>
      <w:r>
        <w:rPr>
          <w:b/>
        </w:rPr>
        <w:t>W̱SÁNEĆ territories</w:t>
      </w:r>
      <w:r>
        <w:t xml:space="preserve">: “southern Gulf and San Juan Islands, across the Salish Sea to Point Roberts and Boundary Bay, up to the Fraser River.” / “… the deep history of the W̱SÁNEĆ people” begins on 118 / 118 “… the </w:t>
      </w:r>
      <w:r>
        <w:rPr>
          <w:b/>
        </w:rPr>
        <w:t>Douglas Treaty</w:t>
      </w:r>
      <w:r>
        <w:t xml:space="preserve"> in </w:t>
      </w:r>
      <w:r>
        <w:rPr>
          <w:b/>
        </w:rPr>
        <w:t>1852</w:t>
      </w:r>
      <w:r>
        <w:t xml:space="preserve">.” / “… the Creator XÁLS …” / 121 @IndHist “According to W̱SÁNEĆ oral history, at the time of the signing of the </w:t>
      </w:r>
      <w:r>
        <w:rPr>
          <w:b/>
        </w:rPr>
        <w:t>Douglas Treaties</w:t>
      </w:r>
      <w:r>
        <w:t xml:space="preserve"> there was growing tension with the people of </w:t>
      </w:r>
      <w:r>
        <w:rPr>
          <w:b/>
        </w:rPr>
        <w:t>Fort Victoria</w:t>
      </w:r>
      <w:r>
        <w:t>.” / 121 @Law court cases of resistance: Tsawout v. Saanichton Bay Marina / Idle No More … Trans Mountain Pipeline. … The W̱SÁNEĆ Nation remains engaged with the Crown on several fronts, including the Gulf Islands National Park Reserve, the National Marine Conservation Area Reserve, and the Federal Reconciliation Exploratory Tables, to name a few.” / 122 “</w:t>
      </w:r>
      <w:proofErr w:type="spellStart"/>
      <w:r>
        <w:t>Yuquot</w:t>
      </w:r>
      <w:proofErr w:type="spellEnd"/>
      <w:r>
        <w:t xml:space="preserve"> (formerly Friendly Cove, Nootka Island), with the chief of the Maquinna clan emerging as the leader of the </w:t>
      </w:r>
      <w:proofErr w:type="spellStart"/>
      <w:r>
        <w:t>Mowachaht</w:t>
      </w:r>
      <w:proofErr w:type="spellEnd"/>
      <w:r>
        <w:t xml:space="preserve"> by the time of contact.23 It was here that the Spanish explorer Perez passed in 1774, and the British explorer James Cook arrived and stayed for one month in 1778.” / 123 Nuu-chah-nulth Tribal Council &amp; E. Richard </w:t>
      </w:r>
      <w:r>
        <w:rPr>
          <w:highlight w:val="magenta"/>
        </w:rPr>
        <w:t>Atleo</w:t>
      </w:r>
      <w:r>
        <w:t xml:space="preserve"> / 124 The </w:t>
      </w:r>
      <w:r>
        <w:rPr>
          <w:b/>
        </w:rPr>
        <w:t>Nootka Crisis</w:t>
      </w:r>
      <w:r>
        <w:t xml:space="preserve"> / “…</w:t>
      </w:r>
      <w:r>
        <w:rPr>
          <w:highlight w:val="magenta"/>
        </w:rPr>
        <w:t>Maquinna</w:t>
      </w:r>
      <w:r>
        <w:t xml:space="preserve"> led a war party to capture an American trading vessel, the </w:t>
      </w:r>
      <w:r>
        <w:rPr>
          <w:i/>
        </w:rPr>
        <w:t>Boston</w:t>
      </w:r>
      <w:r>
        <w:t xml:space="preserve">…” / 125 On characterizing the reasons for the attack: “Maquinna led a war party to capture an American </w:t>
      </w:r>
      <w:r>
        <w:lastRenderedPageBreak/>
        <w:t xml:space="preserve">trading vessel, the </w:t>
      </w:r>
      <w:r>
        <w:rPr>
          <w:i/>
        </w:rPr>
        <w:t>Boston</w:t>
      </w:r>
      <w:r>
        <w:t xml:space="preserve">.” … </w:t>
      </w:r>
      <w:r>
        <w:rPr>
          <w:highlight w:val="magenta"/>
        </w:rPr>
        <w:t>Alexander Walker</w:t>
      </w:r>
      <w:r>
        <w:t xml:space="preserve">, who visited </w:t>
      </w:r>
      <w:proofErr w:type="spellStart"/>
      <w:r>
        <w:t>Yuquot</w:t>
      </w:r>
      <w:proofErr w:type="spellEnd"/>
      <w:r>
        <w:t xml:space="preserve"> in 1786, later reflected that the attack was “the Bloody revenge of a long series of injuries which the tribe had experienced from their Civilized Visitors.” / 126 “…it was not until 1889 that the BC government sent its Indian reserve commissioner, </w:t>
      </w:r>
      <w:r>
        <w:rPr>
          <w:highlight w:val="magenta"/>
        </w:rPr>
        <w:t>Peter O’Reilly</w:t>
      </w:r>
      <w:r>
        <w:t xml:space="preserve">, to the west coast of Vancouver Island to survey the territory and impose the despised reserve system there.” / @IndHist@ISr “In 1914, </w:t>
      </w:r>
      <w:proofErr w:type="spellStart"/>
      <w:r>
        <w:t>Mowachaht</w:t>
      </w:r>
      <w:proofErr w:type="spellEnd"/>
      <w:r>
        <w:t xml:space="preserve"> chiefs </w:t>
      </w:r>
      <w:r>
        <w:rPr>
          <w:highlight w:val="magenta"/>
        </w:rPr>
        <w:t>Napoleon</w:t>
      </w:r>
      <w:r>
        <w:t xml:space="preserve">, Maquinna, and </w:t>
      </w:r>
      <w:r>
        <w:rPr>
          <w:highlight w:val="magenta"/>
        </w:rPr>
        <w:t>Captain Jack</w:t>
      </w:r>
      <w:r>
        <w:t xml:space="preserve">, as well as </w:t>
      </w:r>
      <w:proofErr w:type="spellStart"/>
      <w:r>
        <w:t>Muchalaht</w:t>
      </w:r>
      <w:proofErr w:type="spellEnd"/>
      <w:r>
        <w:t xml:space="preserve"> </w:t>
      </w:r>
      <w:r>
        <w:rPr>
          <w:highlight w:val="magenta"/>
        </w:rPr>
        <w:t>chief Joseph</w:t>
      </w:r>
      <w:r>
        <w:t xml:space="preserve"> testified before </w:t>
      </w:r>
      <w:r>
        <w:rPr>
          <w:i/>
        </w:rPr>
        <w:t>the McKenna-McBride Commission</w:t>
      </w:r>
      <w:r>
        <w:t xml:space="preserve">.” Followed by CHIEF NAPOLEON’s address. / 126 “…in 1959, the </w:t>
      </w:r>
      <w:proofErr w:type="spellStart"/>
      <w:r>
        <w:t>Tahsis</w:t>
      </w:r>
      <w:proofErr w:type="spellEnd"/>
      <w:r>
        <w:t xml:space="preserve"> Corporation solicited and gained the support of </w:t>
      </w:r>
      <w:r>
        <w:rPr>
          <w:highlight w:val="magenta"/>
        </w:rPr>
        <w:t>W.S. Arneil</w:t>
      </w:r>
      <w:r>
        <w:t xml:space="preserve">, the Indian commissioner for British Columbia…” / 126-27: </w:t>
      </w:r>
      <w:proofErr w:type="spellStart"/>
      <w:r>
        <w:t>Tahsis</w:t>
      </w:r>
      <w:proofErr w:type="spellEnd"/>
      <w:r>
        <w:t xml:space="preserve">, the mill, and Gold River / “… July 1975, when </w:t>
      </w:r>
      <w:proofErr w:type="spellStart"/>
      <w:r>
        <w:t>ḥaw’iih</w:t>
      </w:r>
      <w:proofErr w:type="spellEnd"/>
      <w:r>
        <w:t xml:space="preserve"> </w:t>
      </w:r>
      <w:r>
        <w:rPr>
          <w:highlight w:val="magenta"/>
        </w:rPr>
        <w:t>Jerry Jack Sr</w:t>
      </w:r>
      <w:r>
        <w:t xml:space="preserve">. mobilized … a roadblock … between Gold River and the </w:t>
      </w:r>
      <w:proofErr w:type="spellStart"/>
      <w:r>
        <w:t>Tahsis</w:t>
      </w:r>
      <w:proofErr w:type="spellEnd"/>
      <w:r>
        <w:t xml:space="preserve"> mill in protest of the federal government’s failure to take land claims seriously.” / 127 See “Declaration by the </w:t>
      </w:r>
      <w:proofErr w:type="spellStart"/>
      <w:r>
        <w:t>Ha’wiih</w:t>
      </w:r>
      <w:proofErr w:type="spellEnd"/>
      <w:r>
        <w:t xml:space="preserve"> of the Nuu-chah-nulth Nation,” 15 November 1994, </w:t>
      </w:r>
      <w:r>
        <w:rPr>
          <w:i/>
        </w:rPr>
        <w:t>Ha-</w:t>
      </w:r>
      <w:proofErr w:type="spellStart"/>
      <w:r>
        <w:rPr>
          <w:i/>
        </w:rPr>
        <w:t>Shilth</w:t>
      </w:r>
      <w:proofErr w:type="spellEnd"/>
      <w:r>
        <w:rPr>
          <w:i/>
        </w:rPr>
        <w:t>-Sa</w:t>
      </w:r>
      <w:r>
        <w:t xml:space="preserve">, 3. / </w:t>
      </w:r>
      <w:r>
        <w:rPr>
          <w:highlight w:val="magenta"/>
        </w:rPr>
        <w:t>Justice David Vickers</w:t>
      </w:r>
      <w:r>
        <w:t xml:space="preserve"> ruling on 130 “… It seems to me that Canada’s argument builds on the failed assertion of sovereignty in 1792. … I have no difficulty in concluding that The Treaty of Oregon, 1846 is a watershed date that the courts have relied upon up to now. I see no reason to move from that date.” / @Border@Law@ISr How the Oregon treaty separated Indigenous relations. / 133 “</w:t>
      </w:r>
      <w:r>
        <w:rPr>
          <w:highlight w:val="magenta"/>
        </w:rPr>
        <w:t>James Polk</w:t>
      </w:r>
      <w:r>
        <w:t>, running on the slogan of “</w:t>
      </w:r>
      <w:r>
        <w:rPr>
          <w:b/>
        </w:rPr>
        <w:t>54/40 or fight</w:t>
      </w:r>
      <w:r>
        <w:t xml:space="preserve">,” won the presidency in 1844, and shortly afterwards the US Secretary of State </w:t>
      </w:r>
      <w:r>
        <w:rPr>
          <w:highlight w:val="magenta"/>
        </w:rPr>
        <w:t>James Buchanan</w:t>
      </w:r>
      <w:r>
        <w:t xml:space="preserve"> informed </w:t>
      </w:r>
      <w:r>
        <w:rPr>
          <w:highlight w:val="magenta"/>
        </w:rPr>
        <w:t>Pakenham</w:t>
      </w:r>
      <w:r>
        <w:t xml:space="preserve"> that they were withdrawing earlier proposals for dividing the territory. / 133 “According to one source, only forty Americans were living north of the Columbia River in 1846.” / 135 UNDRIP, and article of note: “…2007, UNDRIP declares that “Indigenous peoples have the right to the lands, territories and resources which they have traditionally owned, occupied or otherwise used or acquired” (Article 26.1)…” / 137-38 Coulthard and “natural resource extraction by powerful corporations” quote from </w:t>
      </w:r>
      <w:r>
        <w:rPr>
          <w:i/>
        </w:rPr>
        <w:t>Red Skin, White Masks</w:t>
      </w:r>
      <w:r>
        <w:t xml:space="preserve">. </w:t>
      </w:r>
    </w:p>
    <w:p w14:paraId="58ACB79E" w14:textId="77777777" w:rsidR="00076776" w:rsidRDefault="00076776"/>
    <w:p w14:paraId="750D1AD0" w14:textId="77777777" w:rsidR="00076776" w:rsidRDefault="00000000">
      <w:pPr>
        <w:pStyle w:val="Heading2"/>
      </w:pPr>
      <w:r>
        <w:t>Notes</w:t>
      </w:r>
    </w:p>
    <w:p w14:paraId="12CA856B" w14:textId="77777777" w:rsidR="00076776" w:rsidRDefault="00000000">
      <w:r>
        <w:t xml:space="preserve">Note the use of the term First Nation, </w:t>
      </w:r>
      <w:proofErr w:type="gramStart"/>
      <w:r>
        <w:t>in light of</w:t>
      </w:r>
      <w:proofErr w:type="gramEnd"/>
      <w:r>
        <w:t xml:space="preserve"> the </w:t>
      </w:r>
      <w:hyperlink r:id="rId24">
        <w:r w:rsidR="00076776">
          <w:rPr>
            <w:color w:val="0563C1"/>
            <w:u w:val="single"/>
          </w:rPr>
          <w:t>Wet’suwet’en</w:t>
        </w:r>
      </w:hyperlink>
      <w:r>
        <w:t xml:space="preserve"> chief who talked about the differences between “Nation” and “First Nation.”</w:t>
      </w:r>
    </w:p>
    <w:p w14:paraId="7E6D03E7" w14:textId="77777777" w:rsidR="00076776" w:rsidRDefault="00076776"/>
    <w:p w14:paraId="373BB14D" w14:textId="77777777" w:rsidR="00076776" w:rsidRDefault="00000000">
      <w:r>
        <w:t xml:space="preserve">@Diss: Read Assembly of First Nations declaration </w:t>
      </w:r>
      <w:r>
        <w:rPr>
          <w:i/>
        </w:rPr>
        <w:t>Dismantling the Doctrine of Discovery</w:t>
      </w:r>
      <w:r>
        <w:t xml:space="preserve">. See 134 in Claxton and Price. </w:t>
      </w:r>
    </w:p>
    <w:p w14:paraId="080D9E88" w14:textId="77777777" w:rsidR="00076776" w:rsidRDefault="00076776"/>
    <w:p w14:paraId="0D878CCB" w14:textId="77777777" w:rsidR="00076776" w:rsidRDefault="00000000">
      <w:r>
        <w:t xml:space="preserve">@Diss: Read Michael Asch, John Borrows, James Tully, eds. </w:t>
      </w:r>
      <w:r>
        <w:rPr>
          <w:i/>
        </w:rPr>
        <w:t>Resurgence and Reconciliation: Indigenous – Settler Relations and Earth Teachings</w:t>
      </w:r>
      <w:r>
        <w:t xml:space="preserve"> (Toronto: University of Toronto Press, 2018). It is on my FF list. </w:t>
      </w:r>
    </w:p>
    <w:p w14:paraId="243102DE" w14:textId="77777777" w:rsidR="00076776" w:rsidRDefault="00076776"/>
    <w:p w14:paraId="0747BE31" w14:textId="77777777" w:rsidR="00076776" w:rsidRDefault="00000000">
      <w:pPr>
        <w:pStyle w:val="Heading1"/>
      </w:pPr>
      <w:bookmarkStart w:id="27" w:name="_heading=h.qsh70q" w:colFirst="0" w:colLast="0"/>
      <w:bookmarkEnd w:id="27"/>
      <w:r>
        <w:t>&gt;&gt;&gt; GEOSPATIAL Readings &lt;&lt;&lt;</w:t>
      </w:r>
    </w:p>
    <w:p w14:paraId="66581279" w14:textId="77777777" w:rsidR="00076776" w:rsidRDefault="00000000">
      <w:r>
        <w:rPr>
          <w:highlight w:val="yellow"/>
        </w:rPr>
        <w:t>[stopped here: continue to go through the Notes sections that follow]</w:t>
      </w:r>
      <w:r>
        <w:t xml:space="preserve"> This section contains notes on readings to do with maps and cartography (practical and theoretical), space and place, and toponymy. </w:t>
      </w:r>
    </w:p>
    <w:p w14:paraId="5BC9A065" w14:textId="77777777" w:rsidR="00076776" w:rsidRDefault="00000000">
      <w:pPr>
        <w:pStyle w:val="Heading1"/>
      </w:pPr>
      <w:bookmarkStart w:id="28" w:name="_heading=h.3as4poj" w:colFirst="0" w:colLast="0"/>
      <w:bookmarkEnd w:id="28"/>
      <w:r>
        <w:lastRenderedPageBreak/>
        <w:t xml:space="preserve">(1987) Carter, </w:t>
      </w:r>
      <w:r>
        <w:rPr>
          <w:i/>
        </w:rPr>
        <w:t>The Road to Botany Bay</w:t>
      </w:r>
    </w:p>
    <w:p w14:paraId="611B26DE" w14:textId="77777777" w:rsidR="00076776" w:rsidRDefault="00076776">
      <w:pPr>
        <w:rPr>
          <w:i/>
        </w:rPr>
      </w:pPr>
    </w:p>
    <w:p w14:paraId="69AF0D3B" w14:textId="77777777" w:rsidR="00076776" w:rsidRDefault="00000000">
      <w:pPr>
        <w:pStyle w:val="Heading2"/>
      </w:pPr>
      <w:r>
        <w:t>Abstract</w:t>
      </w:r>
    </w:p>
    <w:p w14:paraId="7B9B7090" w14:textId="77777777" w:rsidR="00076776" w:rsidRDefault="00000000">
      <w:r>
        <w:t xml:space="preserve">An examination of the ways in which stories of space and history </w:t>
      </w:r>
      <w:r>
        <w:rPr>
          <w:i/>
        </w:rPr>
        <w:t>precede</w:t>
      </w:r>
      <w:r>
        <w:t xml:space="preserve"> colonization; a protracted look at a flavour of manifest destiny. </w:t>
      </w:r>
    </w:p>
    <w:p w14:paraId="153A463E" w14:textId="77777777" w:rsidR="00076776" w:rsidRDefault="00076776"/>
    <w:p w14:paraId="77A56AA6" w14:textId="77777777" w:rsidR="00076776" w:rsidRDefault="00000000">
      <w:pPr>
        <w:pStyle w:val="Heading2"/>
      </w:pPr>
      <w:r>
        <w:t>Key words</w:t>
      </w:r>
    </w:p>
    <w:p w14:paraId="1FF95001" w14:textId="77777777" w:rsidR="00076776" w:rsidRDefault="00000000">
      <w:r>
        <w:rPr>
          <w:b/>
        </w:rPr>
        <w:t>spatial history</w:t>
      </w:r>
      <w:r>
        <w:t>, historical geography, poetic constitution of colonial society, mapping, narrative, mythopoetic mechanisms of empire, nineteenth-century imperialism</w:t>
      </w:r>
    </w:p>
    <w:p w14:paraId="3A7EE6D8" w14:textId="77777777" w:rsidR="00076776" w:rsidRDefault="00076776"/>
    <w:p w14:paraId="316AB3F4" w14:textId="77777777" w:rsidR="00076776" w:rsidRDefault="00000000">
      <w:pPr>
        <w:pStyle w:val="Heading2"/>
      </w:pPr>
      <w:r>
        <w:t>Essential quote</w:t>
      </w:r>
    </w:p>
    <w:p w14:paraId="6586560E" w14:textId="77777777" w:rsidR="00076776" w:rsidRDefault="00000000">
      <w:r>
        <w:t>158: The frontier signifies the decisive exclusion of all that is not culturally familiar: and it excludes it even when it incorporates it. For the act of incorporation involves the complete silencing and obliteration of whatever it was that made the frontier necessary in the first place. The rhetorical significance of the frontier is that it empties the beyond of any cultural significance even before it is subdued. Savages are, by definition, what are found beyond the pale of civilization: there is no question of letting them disperse the boundary or turn their backs on it, for this would undermine the imperial logic of opposition on which the frontier myth rests.</w:t>
      </w:r>
    </w:p>
    <w:p w14:paraId="6DA03CB0" w14:textId="77777777" w:rsidR="00076776" w:rsidRDefault="00076776"/>
    <w:p w14:paraId="37451177" w14:textId="77777777" w:rsidR="00076776" w:rsidRDefault="00000000">
      <w:pPr>
        <w:pStyle w:val="Heading2"/>
      </w:pPr>
      <w:r>
        <w:t>Terms</w:t>
      </w:r>
    </w:p>
    <w:p w14:paraId="6FBBE0DD" w14:textId="77777777" w:rsidR="00076776" w:rsidRDefault="00000000">
      <w:r>
        <w:t xml:space="preserve">XVI: </w:t>
      </w:r>
      <w:r>
        <w:rPr>
          <w:b/>
        </w:rPr>
        <w:t>imperial history</w:t>
      </w:r>
      <w:r>
        <w:t xml:space="preserve">: history that “reduces space to a stage, that pays attention to events unfolding in time alone… The governor erects a tent here rather than there; the soldier blazes a trail in that direction rather than this: </w:t>
      </w:r>
      <w:proofErr w:type="gramStart"/>
      <w:r>
        <w:t>but,</w:t>
      </w:r>
      <w:proofErr w:type="gramEnd"/>
      <w:r>
        <w:t xml:space="preserve"> rather than focus on the intentional world of historical individuals, the world of active, spatial choices, empirical history of this kind has as its focus facts which, in a sense, come after the event. The primary object is not to understand or to </w:t>
      </w:r>
      <w:proofErr w:type="gramStart"/>
      <w:r>
        <w:t>interpret:</w:t>
      </w:r>
      <w:proofErr w:type="gramEnd"/>
      <w:r>
        <w:t xml:space="preserve"> </w:t>
      </w:r>
      <w:r>
        <w:rPr>
          <w:b/>
        </w:rPr>
        <w:t>it is to legitimate</w:t>
      </w:r>
      <w:r>
        <w:t>.”</w:t>
      </w:r>
    </w:p>
    <w:p w14:paraId="15AE67F0" w14:textId="77777777" w:rsidR="00076776" w:rsidRDefault="00000000">
      <w:r>
        <w:t xml:space="preserve">XIX: </w:t>
      </w:r>
      <w:r>
        <w:rPr>
          <w:b/>
        </w:rPr>
        <w:t>historical eye &amp; chronology</w:t>
      </w:r>
      <w:r>
        <w:t xml:space="preserve">: The </w:t>
      </w:r>
      <w:r>
        <w:rPr>
          <w:b/>
        </w:rPr>
        <w:t>historical eye</w:t>
      </w:r>
      <w:r>
        <w:t xml:space="preserve"> may be seeking out more exotic objects, but its viewpoint remains fixed. History continues to unfold upon a stage: indeed, this is exactly what </w:t>
      </w:r>
      <w:r>
        <w:rPr>
          <w:b/>
        </w:rPr>
        <w:t>chronology</w:t>
      </w:r>
      <w:r>
        <w:t xml:space="preserve"> is, a stage which nullifies time’s cultural peculiarities. Chronology is the temporal counterpart of a Euclidean space: both are operationally efficient because they deny the historical nature of the realms they manipulate.</w:t>
      </w:r>
    </w:p>
    <w:p w14:paraId="5ED61A02" w14:textId="77777777" w:rsidR="00076776" w:rsidRDefault="00000000">
      <w:r>
        <w:t xml:space="preserve">XX: </w:t>
      </w:r>
      <w:r>
        <w:rPr>
          <w:b/>
        </w:rPr>
        <w:t>diorama history</w:t>
      </w:r>
      <w:r>
        <w:t>: “history where the past has been settled even more effectively than the country.”</w:t>
      </w:r>
    </w:p>
    <w:p w14:paraId="56B0A4ED" w14:textId="77777777" w:rsidR="00076776" w:rsidRDefault="00000000">
      <w:r>
        <w:t xml:space="preserve">XX: </w:t>
      </w:r>
      <w:r>
        <w:rPr>
          <w:b/>
        </w:rPr>
        <w:t>satellite eye</w:t>
      </w:r>
      <w:r>
        <w:t xml:space="preserve">: “The </w:t>
      </w:r>
      <w:r>
        <w:rPr>
          <w:b/>
        </w:rPr>
        <w:t>satellite eye</w:t>
      </w:r>
      <w:r>
        <w:t xml:space="preserve">… The eye which sees is not the organic </w:t>
      </w:r>
      <w:r>
        <w:rPr>
          <w:b/>
        </w:rPr>
        <w:t>counterpart</w:t>
      </w:r>
      <w:r>
        <w:t xml:space="preserve"> of Locke’s blank mind: its gaze is not random, open-minded, equally attentive to all directions, all phenomena. On the contrary, it looks down a telescope.”  </w:t>
      </w:r>
    </w:p>
    <w:p w14:paraId="51B40F02" w14:textId="77777777" w:rsidR="00076776" w:rsidRDefault="00000000">
      <w:r>
        <w:t xml:space="preserve">13: </w:t>
      </w:r>
      <w:r>
        <w:rPr>
          <w:b/>
        </w:rPr>
        <w:t>historical imperialism</w:t>
      </w:r>
      <w:r>
        <w:t>. Defined by way of this example: “In treating Cook’s biography as a network of dates, places and facts, Beaglehole [historian] assumes a natural consonance between the man and his age: he effaces the man’s individuality at the very point that he asserts it. In this way, Cook becomes but another heroic variation on history’s universal theme.</w:t>
      </w:r>
    </w:p>
    <w:p w14:paraId="03B0A3AF" w14:textId="77777777" w:rsidR="00076776" w:rsidRDefault="00000000">
      <w:r>
        <w:rPr>
          <w:highlight w:val="green"/>
        </w:rPr>
        <w:t>18</w:t>
      </w:r>
      <w:r>
        <w:t xml:space="preserve">: </w:t>
      </w:r>
      <w:r>
        <w:rPr>
          <w:b/>
        </w:rPr>
        <w:t>explorer’s discourse</w:t>
      </w:r>
      <w:r>
        <w:t xml:space="preserve">. “This kind of reading, which interprets, rather than explains, which relocates the text in the context of its writing, can be applied more generally: taken as a whole, </w:t>
      </w:r>
      <w:r>
        <w:lastRenderedPageBreak/>
        <w:t>Cook’s place names express the navigator’s active engagement with the space of his journey. They are figures of speech characteristic of the explorer’s discourse.”</w:t>
      </w:r>
    </w:p>
    <w:p w14:paraId="2A842FE4" w14:textId="77777777" w:rsidR="00076776" w:rsidRDefault="00000000">
      <w:r>
        <w:rPr>
          <w:highlight w:val="green"/>
        </w:rPr>
        <w:t>20</w:t>
      </w:r>
      <w:r>
        <w:t xml:space="preserve">: </w:t>
      </w:r>
      <w:r>
        <w:rPr>
          <w:b/>
        </w:rPr>
        <w:t>imperial historian</w:t>
      </w:r>
      <w:r>
        <w:t>: “… assimilates occasions and anomalies to the logic of universal reason.”</w:t>
      </w:r>
    </w:p>
    <w:p w14:paraId="2C2E03F6" w14:textId="77777777" w:rsidR="00076776" w:rsidRDefault="00000000">
      <w:r>
        <w:t xml:space="preserve">136: </w:t>
      </w:r>
      <w:r>
        <w:rPr>
          <w:b/>
        </w:rPr>
        <w:t>Debatable Land</w:t>
      </w:r>
      <w:r>
        <w:t xml:space="preserve">: “…an area that early maps showing aboriginal tribal divisions describe as ‘Debatable Land’ … land that no one laid claim to, or it was land whose ownership was disputed. Either way, it “was land that had not been settled. … ‘Debatable Land’ refers not so much to aboriginal beliefs, as to certain assumptions of their white interrogators. </w:t>
      </w:r>
    </w:p>
    <w:p w14:paraId="7C5ACECD" w14:textId="77777777" w:rsidR="00076776" w:rsidRDefault="00000000">
      <w:r>
        <w:rPr>
          <w:highlight w:val="green"/>
        </w:rPr>
        <w:t>@Motherlode</w:t>
      </w:r>
      <w:r>
        <w:t xml:space="preserve">:158: </w:t>
      </w:r>
      <w:r>
        <w:rPr>
          <w:b/>
        </w:rPr>
        <w:t xml:space="preserve">the </w:t>
      </w:r>
      <w:proofErr w:type="gramStart"/>
      <w:r>
        <w:rPr>
          <w:b/>
        </w:rPr>
        <w:t>frontier</w:t>
      </w:r>
      <w:r>
        <w:t>:</w:t>
      </w:r>
      <w:proofErr w:type="gramEnd"/>
      <w:r>
        <w:t xml:space="preserve"> as relates to the “myth of the pioneer:” “…the frontier is usually conceived of as a line, a line continually pushed forward (or back) by heroic frontiersmen, the pioneers. Inside the line is culture; beyond it, nature. As the frontier moves, nature is bulldozed into submission. There is no negotiation, simply the imposition of a new regime by force. </w:t>
      </w:r>
      <w:r>
        <w:rPr>
          <w:b/>
        </w:rPr>
        <w:t xml:space="preserve">Culture does not evolve or </w:t>
      </w:r>
      <w:proofErr w:type="gramStart"/>
      <w:r>
        <w:rPr>
          <w:b/>
        </w:rPr>
        <w:t>adapt:</w:t>
      </w:r>
      <w:proofErr w:type="gramEnd"/>
      <w:r>
        <w:rPr>
          <w:b/>
        </w:rPr>
        <w:t xml:space="preserve"> it simply replicates itself over an ever-growing territory.</w:t>
      </w:r>
      <w:r>
        <w:t xml:space="preserve"> The frontier signifies the decisive exclusion of all that is not culturally familiar: and it excludes it even when it incorporates it. For the act of incorporation involves the complete silencing and obliteration of whatever it was that made the frontier necessary in the first place. The rhetorical significance of the frontier is that it empties the beyond of any cultural significance even before it is subdued. Savages are, by definition, what are found beyond the pale of civilization: there is no question of letting them disperse the boundary or turn their backs on it, for this would undermine the imperial logic of opposition on which the frontier myth rests. … one tragic irony of the frontier dream is that its proponents can never cease to feel surrounded. For, however far back the frontier is pushed, there is always something threatening on the other side.</w:t>
      </w:r>
    </w:p>
    <w:p w14:paraId="42BC97E4" w14:textId="77777777" w:rsidR="00076776" w:rsidRDefault="00000000">
      <w:r>
        <w:t xml:space="preserve">160: </w:t>
      </w:r>
      <w:r>
        <w:rPr>
          <w:b/>
        </w:rPr>
        <w:t>frontier mentality</w:t>
      </w:r>
      <w:r>
        <w:t xml:space="preserve">: “… the invention of a metaphysical entity, known as the frontier and revealed in such phenomena as the ‘frontier mentality’.”  </w:t>
      </w:r>
    </w:p>
    <w:p w14:paraId="581BE49C" w14:textId="77777777" w:rsidR="00076776" w:rsidRDefault="00000000">
      <w:r>
        <w:rPr>
          <w:highlight w:val="green"/>
        </w:rPr>
        <w:t>171</w:t>
      </w:r>
      <w:r>
        <w:t xml:space="preserve">: </w:t>
      </w:r>
      <w:r>
        <w:rPr>
          <w:b/>
        </w:rPr>
        <w:t>pioneering paradox</w:t>
      </w:r>
      <w:r>
        <w:t xml:space="preserve">: @Rhet@SettPsych “…that what is gained occurs at the price of irremediable loss… For, from the position of settlement, the forest now appears as a place where the imagination was at home. It is now conjured up as a place of mental and emotional travelling. Stasis endows it with a sense of freedom. It becomes the site of the imaginary travelling which only a house with windows, table and chair makes possible. … Thus, in retrospect, is the wilderness cultivated and preserved as a cultural site, a place where the settler can reflect on his own condition, understanding perhaps the intention to settle as a question of spatial and psychic stability, as well as pride in having an address. </w:t>
      </w:r>
      <w:r>
        <w:rPr>
          <w:b/>
        </w:rPr>
        <w:t>Plainly our contemporaries, the ‘developer’ and the ‘environmentalist’, spring from one and the same tradition.</w:t>
      </w:r>
      <w:r>
        <w:t xml:space="preserve"> </w:t>
      </w:r>
      <w:r>
        <w:rPr>
          <w:b/>
        </w:rPr>
        <w:t xml:space="preserve">Why then can they not talk to each other? Whatever the stated reasons, one cannot help feeling that, underlying it, is their mutual appeal to the false rhetoric of the frontier.”  </w:t>
      </w:r>
    </w:p>
    <w:p w14:paraId="411E2C42" w14:textId="77777777" w:rsidR="00076776" w:rsidRDefault="00000000">
      <w:r>
        <w:rPr>
          <w:highlight w:val="green"/>
        </w:rPr>
        <w:t>304</w:t>
      </w:r>
      <w:r>
        <w:t xml:space="preserve">: </w:t>
      </w:r>
      <w:r>
        <w:rPr>
          <w:b/>
        </w:rPr>
        <w:t>imperial space</w:t>
      </w:r>
      <w:r>
        <w:t>: “… has been taken over uncritically by a tradition of Australian historians, with its ideal neutral observer and its unified, placeless Euclidean passivity, was a means of foundation, a metaphorical way of transforming the present extent into a future enclosure, a visible stage, an orderly cause-and-effect pageant.”</w:t>
      </w:r>
    </w:p>
    <w:p w14:paraId="3D94B5EB" w14:textId="77777777" w:rsidR="00076776" w:rsidRDefault="00000000">
      <w:r>
        <w:rPr>
          <w:highlight w:val="green"/>
        </w:rPr>
        <w:t>318</w:t>
      </w:r>
      <w:r>
        <w:t xml:space="preserve">: </w:t>
      </w:r>
      <w:r>
        <w:rPr>
          <w:b/>
        </w:rPr>
        <w:t xml:space="preserve">linguistic </w:t>
      </w:r>
      <w:proofErr w:type="gramStart"/>
      <w:r>
        <w:rPr>
          <w:b/>
        </w:rPr>
        <w:t xml:space="preserve">imperialism </w:t>
      </w:r>
      <w:r>
        <w:t>:</w:t>
      </w:r>
      <w:proofErr w:type="gramEnd"/>
      <w:r>
        <w:t xml:space="preserve"> “…the Enlightenment project of reducing the world to uniformity, replacing local difference with universal intelligibility … superficial benevolence.”  </w:t>
      </w:r>
    </w:p>
    <w:p w14:paraId="0D13DF53" w14:textId="77777777" w:rsidR="00076776" w:rsidRDefault="00076776"/>
    <w:p w14:paraId="4E6B3CA8" w14:textId="77777777" w:rsidR="00076776" w:rsidRDefault="00000000">
      <w:pPr>
        <w:pStyle w:val="Heading2"/>
      </w:pPr>
      <w:r>
        <w:t>Core quotes</w:t>
      </w:r>
    </w:p>
    <w:p w14:paraId="0302DA24" w14:textId="77777777" w:rsidR="00076776" w:rsidRDefault="00000000">
      <w:pPr>
        <w:pStyle w:val="Heading4"/>
      </w:pPr>
      <w:r>
        <w:t>Introduction</w:t>
      </w:r>
    </w:p>
    <w:p w14:paraId="1F775A24" w14:textId="77777777" w:rsidR="00076776" w:rsidRDefault="00076776"/>
    <w:p w14:paraId="40C9E05C" w14:textId="77777777" w:rsidR="00076776" w:rsidRDefault="00000000">
      <w:r>
        <w:lastRenderedPageBreak/>
        <w:t xml:space="preserve">@Summ: On the act of naming, the imperial gaze, and “the invention of a point of view, a panoramic eye before whose gaze the historical facts unfold again exactly as before.” </w:t>
      </w:r>
    </w:p>
    <w:p w14:paraId="1BB10CA1" w14:textId="77777777" w:rsidR="00076776" w:rsidRDefault="00076776"/>
    <w:p w14:paraId="723E42D8" w14:textId="77777777" w:rsidR="00076776" w:rsidRDefault="00000000">
      <w:r>
        <w:t>@CogImp@Hist@SettPsych@NeoCol@Reason</w:t>
      </w:r>
    </w:p>
    <w:p w14:paraId="599747D0" w14:textId="77777777" w:rsidR="00076776" w:rsidRDefault="00000000">
      <w:r>
        <w:t xml:space="preserve">See Terms section on “imperial history,” as this builds on C’s definition: </w:t>
      </w:r>
    </w:p>
    <w:p w14:paraId="1BAACD42" w14:textId="77777777" w:rsidR="00076776" w:rsidRDefault="00076776">
      <w:pPr>
        <w:ind w:left="720"/>
      </w:pPr>
    </w:p>
    <w:p w14:paraId="02911687" w14:textId="77777777" w:rsidR="00076776" w:rsidRDefault="00000000">
      <w:pPr>
        <w:ind w:left="720"/>
      </w:pPr>
      <w:r>
        <w:t xml:space="preserve">This is why this history is associated with imperialism - for </w:t>
      </w:r>
      <w:r>
        <w:rPr>
          <w:b/>
        </w:rPr>
        <w:t>who are more liable to charges of unlawful usurpation and constitutional illegitimacy than the founders of colonies</w:t>
      </w:r>
      <w:r>
        <w:t xml:space="preserve">? Hence, imperial history’s </w:t>
      </w:r>
      <w:r>
        <w:rPr>
          <w:i/>
        </w:rPr>
        <w:t>defensive</w:t>
      </w:r>
      <w:r>
        <w:t xml:space="preserve"> appeal to the logic of cause and effect: by its nature, </w:t>
      </w:r>
      <w:r>
        <w:rPr>
          <w:b/>
        </w:rPr>
        <w:t>such</w:t>
      </w:r>
      <w:r>
        <w:t xml:space="preserve"> </w:t>
      </w:r>
      <w:r>
        <w:rPr>
          <w:b/>
        </w:rPr>
        <w:t>a logic demonstrates the emergence of order from chaos</w:t>
      </w:r>
      <w:r>
        <w:t>.</w:t>
      </w:r>
    </w:p>
    <w:p w14:paraId="1319D957" w14:textId="77777777" w:rsidR="00076776" w:rsidRDefault="00076776">
      <w:pPr>
        <w:ind w:left="720"/>
      </w:pPr>
    </w:p>
    <w:p w14:paraId="61B39D19" w14:textId="77777777" w:rsidR="00076776" w:rsidRDefault="00000000">
      <w:r>
        <w:t xml:space="preserve">And, on the “durable objects” left by early settlers: </w:t>
      </w:r>
    </w:p>
    <w:p w14:paraId="429EA54B" w14:textId="77777777" w:rsidR="00076776" w:rsidRDefault="00076776"/>
    <w:p w14:paraId="5B380696" w14:textId="77777777" w:rsidR="00076776" w:rsidRDefault="00000000">
      <w:pPr>
        <w:ind w:left="720"/>
      </w:pPr>
      <w:r>
        <w:t xml:space="preserve">Orphaned from their unique spatial and temporal context, such objects, such historical facts, can be </w:t>
      </w:r>
      <w:proofErr w:type="gramStart"/>
      <w:r>
        <w:t>fitted-out</w:t>
      </w:r>
      <w:proofErr w:type="gramEnd"/>
      <w:r>
        <w:t xml:space="preserve"> with </w:t>
      </w:r>
      <w:r>
        <w:rPr>
          <w:b/>
        </w:rPr>
        <w:t>new paternities</w:t>
      </w:r>
      <w:r>
        <w:t xml:space="preserve">. Legitimized by an imperial discourse, they can even form future alliances of their own. (It is precisely this </w:t>
      </w:r>
      <w:r>
        <w:rPr>
          <w:b/>
        </w:rPr>
        <w:t>family-tree myth</w:t>
      </w:r>
      <w:r>
        <w:t xml:space="preserve"> of history which assures the historian his privileged status.)</w:t>
      </w:r>
    </w:p>
    <w:p w14:paraId="0F618841" w14:textId="77777777" w:rsidR="00076776" w:rsidRDefault="00076776"/>
    <w:p w14:paraId="2BB4DE56" w14:textId="77777777" w:rsidR="00076776" w:rsidRDefault="00000000">
      <w:r>
        <w:rPr>
          <w:highlight w:val="green"/>
        </w:rPr>
        <w:t>XVII</w:t>
      </w:r>
      <w:r>
        <w:t xml:space="preserve"> @Arg@Narrative@CGaze@Hist@ManDest@WIAM@IKSG</w:t>
      </w:r>
    </w:p>
    <w:p w14:paraId="54C24FF9" w14:textId="77777777" w:rsidR="00076776" w:rsidRDefault="00000000">
      <w:pPr>
        <w:ind w:left="720"/>
      </w:pPr>
      <w:r>
        <w:t xml:space="preserve">The fact is that, as an account of foundation and settlement, not to mention the related processes of discovery and exploration, empirical history, with its emphasis on the factual and static, is wholly inadequate. This is one reason why Australia’s beginnings are felt to be so </w:t>
      </w:r>
      <w:r>
        <w:rPr>
          <w:b/>
        </w:rPr>
        <w:t>fragile</w:t>
      </w:r>
      <w:r>
        <w:t xml:space="preserve">, why it is felt that something more than </w:t>
      </w:r>
      <w:proofErr w:type="gramStart"/>
      <w:r>
        <w:t>Cook</w:t>
      </w:r>
      <w:proofErr w:type="gramEnd"/>
      <w:r>
        <w:t xml:space="preserve"> and the First Fleet is needed if Australians are to acquire </w:t>
      </w:r>
      <w:r>
        <w:rPr>
          <w:b/>
        </w:rPr>
        <w:t>a proper sense of their true and special destiny</w:t>
      </w:r>
      <w:r>
        <w:t xml:space="preserve">. For the result of </w:t>
      </w:r>
      <w:r>
        <w:rPr>
          <w:b/>
        </w:rPr>
        <w:t>cause-and-effect narrative history</w:t>
      </w:r>
      <w:r>
        <w:t xml:space="preserve"> is to give the impression that </w:t>
      </w:r>
      <w:r>
        <w:rPr>
          <w:b/>
        </w:rPr>
        <w:t>events unfold according to a logic of their own</w:t>
      </w:r>
      <w:r>
        <w:t xml:space="preserve">. They refer neither to the place, nor to the people. </w:t>
      </w:r>
      <w:r>
        <w:rPr>
          <w:b/>
        </w:rPr>
        <w:t>Imperial history’s mythic lineage of heroes is the consequence of its theatrical assumption that</w:t>
      </w:r>
      <w:proofErr w:type="gramStart"/>
      <w:r>
        <w:rPr>
          <w:b/>
        </w:rPr>
        <w:t>, in reality, historical</w:t>
      </w:r>
      <w:proofErr w:type="gramEnd"/>
      <w:r>
        <w:rPr>
          <w:b/>
        </w:rPr>
        <w:t xml:space="preserve"> individuals are actors, fulfilling a higher destiny.</w:t>
      </w:r>
    </w:p>
    <w:p w14:paraId="3D82EF48" w14:textId="77777777" w:rsidR="00076776" w:rsidRDefault="00076776"/>
    <w:p w14:paraId="63225F3E" w14:textId="77777777" w:rsidR="00076776" w:rsidRDefault="00000000">
      <w:r>
        <w:rPr>
          <w:highlight w:val="green"/>
        </w:rPr>
        <w:t>XIX</w:t>
      </w:r>
      <w:r>
        <w:t xml:space="preserve"> – XX @ManDest@Dio@CGaze</w:t>
      </w:r>
    </w:p>
    <w:p w14:paraId="38ACAF4E" w14:textId="77777777" w:rsidR="00076776" w:rsidRDefault="00000000">
      <w:pPr>
        <w:ind w:left="720"/>
      </w:pPr>
      <w:r>
        <w:t xml:space="preserve">… the real </w:t>
      </w:r>
      <w:r>
        <w:rPr>
          <w:b/>
        </w:rPr>
        <w:t>mythologizing</w:t>
      </w:r>
      <w:r>
        <w:t xml:space="preserve"> which occurs here is in the invention of a point of view, a panoramic eye before whose gaze the historical facts unfold again exactly as before. … </w:t>
      </w:r>
      <w:r>
        <w:rPr>
          <w:color w:val="000000"/>
        </w:rPr>
        <w:t xml:space="preserve">It is a world where events occur ‘quietly’, where change is always gradual and where, most significantly of all, nothing could have happened except in the way it did. It is, in short, </w:t>
      </w:r>
      <w:r>
        <w:rPr>
          <w:b/>
          <w:color w:val="000000"/>
        </w:rPr>
        <w:t>diorama history</w:t>
      </w:r>
      <w:r>
        <w:rPr>
          <w:color w:val="000000"/>
        </w:rPr>
        <w:t xml:space="preserve"> - </w:t>
      </w:r>
      <w:r>
        <w:rPr>
          <w:b/>
          <w:color w:val="000000"/>
        </w:rPr>
        <w:t>history where the past has been settled even more effectively than the country.</w:t>
      </w:r>
    </w:p>
    <w:p w14:paraId="53CE1EBF" w14:textId="77777777" w:rsidR="00076776" w:rsidRDefault="00076776">
      <w:pPr>
        <w:rPr>
          <w:b/>
          <w:color w:val="000000"/>
          <w:sz w:val="22"/>
          <w:szCs w:val="22"/>
        </w:rPr>
      </w:pPr>
    </w:p>
    <w:p w14:paraId="257E764E" w14:textId="77777777" w:rsidR="00076776" w:rsidRDefault="00000000">
      <w:pPr>
        <w:rPr>
          <w:color w:val="000000"/>
          <w:sz w:val="22"/>
          <w:szCs w:val="22"/>
        </w:rPr>
      </w:pPr>
      <w:r>
        <w:rPr>
          <w:color w:val="000000"/>
          <w:sz w:val="22"/>
          <w:szCs w:val="22"/>
        </w:rPr>
        <w:t>@Dio@CGaze@Erase@Irony@Hist</w:t>
      </w:r>
    </w:p>
    <w:p w14:paraId="7F8D5DE8" w14:textId="77777777" w:rsidR="00076776" w:rsidRDefault="00000000">
      <w:pPr>
        <w:ind w:left="720"/>
      </w:pPr>
      <w:r>
        <w:t>Blainey’s panoramic figure of speech, like Clark’s theatrical description, does not refer to a physical invisibility. Rather, it outlines the selective blindnesses of a cultural discourse: imperial history. The Aborigines, for instance, were not physically invisible, but they were culturally so, for they eluded the cause-and-effect logic that made the workings of history plain to see. They did not share history’s celestial viewpoint. Unlike ships at sea, their movements were unpredictable. Yet the former inhabitants of Australia were not unique in this respect: the diorama model of historical progress has equally obscured a fundamental dimension of the colonizers’ history.</w:t>
      </w:r>
    </w:p>
    <w:p w14:paraId="6D5889BC" w14:textId="77777777" w:rsidR="00076776" w:rsidRDefault="00076776">
      <w:pPr>
        <w:rPr>
          <w:b/>
          <w:color w:val="000000"/>
          <w:sz w:val="22"/>
          <w:szCs w:val="22"/>
        </w:rPr>
      </w:pPr>
    </w:p>
    <w:p w14:paraId="78A8E642" w14:textId="77777777" w:rsidR="00076776" w:rsidRDefault="00000000">
      <w:r>
        <w:t>XXI @SpacePlace@Narr@Dio</w:t>
      </w:r>
    </w:p>
    <w:p w14:paraId="029660A6" w14:textId="77777777" w:rsidR="00076776" w:rsidRDefault="00000000">
      <w:pPr>
        <w:ind w:left="720"/>
      </w:pPr>
      <w:r>
        <w:t xml:space="preserve">The discoverers, explorers and settlers — and they were often one and the same person —were making </w:t>
      </w:r>
      <w:r>
        <w:rPr>
          <w:b/>
        </w:rPr>
        <w:t>spatial history</w:t>
      </w:r>
      <w:r>
        <w:t xml:space="preserve">. They were </w:t>
      </w:r>
      <w:r>
        <w:rPr>
          <w:b/>
        </w:rPr>
        <w:t>choosing directions, applying names, imagining goals, inhabiting the country.</w:t>
      </w:r>
      <w:r>
        <w:t xml:space="preserve"> / And yet no history of these processes exists. We are well supplied with historical geographies, but these share the diorama mentality: they take it for granted that the newcomers travelled and settled a land </w:t>
      </w:r>
      <w:r>
        <w:rPr>
          <w:i/>
        </w:rPr>
        <w:t>which was already there</w:t>
      </w:r>
      <w:r>
        <w:t>.</w:t>
      </w:r>
    </w:p>
    <w:p w14:paraId="5E067EB8" w14:textId="77777777" w:rsidR="00076776" w:rsidRDefault="00000000">
      <w:pPr>
        <w:rPr>
          <w:b/>
          <w:color w:val="000000"/>
          <w:sz w:val="22"/>
          <w:szCs w:val="22"/>
        </w:rPr>
      </w:pPr>
      <w:r>
        <w:rPr>
          <w:b/>
          <w:color w:val="000000"/>
          <w:sz w:val="22"/>
          <w:szCs w:val="22"/>
        </w:rPr>
        <w:t xml:space="preserve"> </w:t>
      </w:r>
    </w:p>
    <w:p w14:paraId="3A383E73" w14:textId="77777777" w:rsidR="00076776" w:rsidRDefault="00000000">
      <w:pPr>
        <w:rPr>
          <w:color w:val="000000"/>
          <w:sz w:val="22"/>
          <w:szCs w:val="22"/>
        </w:rPr>
      </w:pPr>
      <w:r>
        <w:rPr>
          <w:color w:val="000000"/>
          <w:sz w:val="22"/>
          <w:szCs w:val="22"/>
        </w:rPr>
        <w:t>XXII @Arg@Thesis@SpacePlace</w:t>
      </w:r>
    </w:p>
    <w:p w14:paraId="1AC097F3" w14:textId="77777777" w:rsidR="00076776" w:rsidRDefault="00000000">
      <w:pPr>
        <w:ind w:left="720"/>
      </w:pPr>
      <w:r>
        <w:t xml:space="preserve">The </w:t>
      </w:r>
      <w:r>
        <w:rPr>
          <w:i/>
        </w:rPr>
        <w:t>Road to Botany Bay</w:t>
      </w:r>
      <w:r>
        <w:t xml:space="preserve"> is concerned with the haze which preceded clear outlines, but this is no reason why it should imitate its subject. … </w:t>
      </w:r>
      <w:r>
        <w:rPr>
          <w:b/>
          <w:color w:val="000000"/>
          <w:sz w:val="22"/>
          <w:szCs w:val="22"/>
        </w:rPr>
        <w:t>this book’s subject is not a physical object, but a cultural one</w:t>
      </w:r>
      <w:r>
        <w:rPr>
          <w:color w:val="000000"/>
          <w:sz w:val="22"/>
          <w:szCs w:val="22"/>
        </w:rPr>
        <w:t>. It is not the geographer’s space, although that comes into it. What is evoked here are the spatial forms and fantasies through which a culture declares its presence. It is spatiality as a form of non-linear writing; as a form of history.</w:t>
      </w:r>
    </w:p>
    <w:p w14:paraId="6991F468" w14:textId="77777777" w:rsidR="00076776" w:rsidRDefault="00076776"/>
    <w:p w14:paraId="1F5A1D4A" w14:textId="77777777" w:rsidR="00076776" w:rsidRDefault="00000000">
      <w:r>
        <w:rPr>
          <w:highlight w:val="green"/>
        </w:rPr>
        <w:t>XXIV</w:t>
      </w:r>
      <w:r>
        <w:t xml:space="preserve"> @Topo@CogImp@SettPsych@NeoCol@Narr@CGaze</w:t>
      </w:r>
    </w:p>
    <w:p w14:paraId="5F225BC0" w14:textId="77777777" w:rsidR="00076776" w:rsidRDefault="00076776"/>
    <w:p w14:paraId="4426B39C" w14:textId="77777777" w:rsidR="00076776" w:rsidRDefault="00000000">
      <w:pPr>
        <w:ind w:left="720"/>
      </w:pPr>
      <w:r>
        <w:rPr>
          <w:b/>
        </w:rPr>
        <w:t>Cape Inscription, the name, is also the result of erasure: it also symbolizes the imperial project of permanent possession through dispossession</w:t>
      </w:r>
      <w:r>
        <w:t xml:space="preserve">. In short, the name oscillates between two extreme interpretations. It suggests a kind of history which is neither static nor mindlessly mobile, but which incorporates both possibilities. It points to a kind of history where travelling is a process of </w:t>
      </w:r>
      <w:r>
        <w:rPr>
          <w:i/>
        </w:rPr>
        <w:t>continually</w:t>
      </w:r>
      <w:r>
        <w:t xml:space="preserve"> beginning, continually ending, where discovery and settlement belong to the same exploratory process. </w:t>
      </w:r>
      <w:r>
        <w:rPr>
          <w:b/>
        </w:rPr>
        <w:t xml:space="preserve">The ‘facts’ of this spatial history are not houses and clearings, but phenomena as they appear to the traveller, as his intentional gaze conjures them up. </w:t>
      </w:r>
      <w:r>
        <w:t xml:space="preserve">They are the directions and distances in which houses and clearings </w:t>
      </w:r>
      <w:r>
        <w:rPr>
          <w:i/>
        </w:rPr>
        <w:t>may</w:t>
      </w:r>
      <w:r>
        <w:t xml:space="preserve"> be found or founded. … A geographical feature is made no bigger than a page of writing. … </w:t>
      </w:r>
      <w:r>
        <w:rPr>
          <w:color w:val="000000"/>
        </w:rPr>
        <w:t xml:space="preserve">This metaphorical way of speaking is a pointer to the way spatial history must interpret its sources. </w:t>
      </w:r>
      <w:r>
        <w:rPr>
          <w:b/>
          <w:color w:val="000000"/>
        </w:rPr>
        <w:t xml:space="preserve">It also indicates, concisely and poetically, the </w:t>
      </w:r>
      <w:r>
        <w:rPr>
          <w:b/>
          <w:i/>
          <w:color w:val="000000"/>
        </w:rPr>
        <w:t xml:space="preserve">cultural </w:t>
      </w:r>
      <w:r>
        <w:rPr>
          <w:b/>
          <w:color w:val="000000"/>
        </w:rPr>
        <w:t xml:space="preserve">place where spatial history </w:t>
      </w:r>
      <w:proofErr w:type="gramStart"/>
      <w:r>
        <w:rPr>
          <w:b/>
          <w:color w:val="000000"/>
        </w:rPr>
        <w:t>begins:</w:t>
      </w:r>
      <w:proofErr w:type="gramEnd"/>
      <w:r>
        <w:rPr>
          <w:b/>
          <w:color w:val="000000"/>
        </w:rPr>
        <w:t xml:space="preserve"> not in a particular year, nor in a particular place, but </w:t>
      </w:r>
      <w:r>
        <w:rPr>
          <w:b/>
          <w:i/>
          <w:color w:val="000000"/>
        </w:rPr>
        <w:t>in the act of naming.</w:t>
      </w:r>
      <w:r>
        <w:rPr>
          <w:i/>
          <w:color w:val="000000"/>
        </w:rPr>
        <w:t xml:space="preserve"> </w:t>
      </w:r>
      <w:r>
        <w:rPr>
          <w:b/>
          <w:color w:val="000000"/>
        </w:rPr>
        <w:t>For by the act of place-naming, space is transformed symbolically into a place, that is, a space with a history</w:t>
      </w:r>
      <w:r>
        <w:rPr>
          <w:color w:val="000000"/>
        </w:rPr>
        <w:t xml:space="preserve">. </w:t>
      </w:r>
      <w:r>
        <w:rPr>
          <w:b/>
          <w:color w:val="000000"/>
        </w:rPr>
        <w:t xml:space="preserve">And, by the same token, the </w:t>
      </w:r>
      <w:proofErr w:type="spellStart"/>
      <w:r>
        <w:rPr>
          <w:b/>
          <w:color w:val="000000"/>
        </w:rPr>
        <w:t>namer</w:t>
      </w:r>
      <w:proofErr w:type="spellEnd"/>
      <w:r>
        <w:rPr>
          <w:b/>
          <w:color w:val="000000"/>
        </w:rPr>
        <w:t xml:space="preserve"> inscribes his passage permanently on the world, making a metaphorical word-place which others may one day inhabit and by which, in the meantime, he asserts his own place in history.</w:t>
      </w:r>
    </w:p>
    <w:p w14:paraId="1BC53FDD" w14:textId="77777777" w:rsidR="00076776" w:rsidRDefault="00076776">
      <w:pPr>
        <w:ind w:left="720"/>
      </w:pPr>
    </w:p>
    <w:p w14:paraId="792FD31B" w14:textId="77777777" w:rsidR="00076776" w:rsidRDefault="00000000">
      <w:pPr>
        <w:pStyle w:val="Heading4"/>
      </w:pPr>
      <w:r>
        <w:t>Chapter 1</w:t>
      </w:r>
    </w:p>
    <w:p w14:paraId="3AC29A23" w14:textId="77777777" w:rsidR="00076776" w:rsidRDefault="00076776"/>
    <w:p w14:paraId="569FF6C6" w14:textId="77777777" w:rsidR="00076776" w:rsidRDefault="00000000">
      <w:r>
        <w:t xml:space="preserve">@Summ: Mostly a look at how historians have characterized Cook’s nation-making through naming, and the differences between Banks and Cook’s naming ontologies of botany and exploration, respectively. Carter also makes clear distinctions between “discovery” and “exploration,” pointing out the various ironies in the former. </w:t>
      </w:r>
    </w:p>
    <w:p w14:paraId="51CADD66" w14:textId="77777777" w:rsidR="00076776" w:rsidRDefault="00076776"/>
    <w:p w14:paraId="6E9C793A" w14:textId="77777777" w:rsidR="00076776" w:rsidRDefault="00000000">
      <w:r>
        <w:t>1 @Arg</w:t>
      </w:r>
    </w:p>
    <w:p w14:paraId="03E3AAD9" w14:textId="77777777" w:rsidR="00076776" w:rsidRDefault="00000000">
      <w:pPr>
        <w:ind w:left="720"/>
      </w:pPr>
      <w:r>
        <w:t>For what has been at stake in such debates is not Cook’s credentials as a navigator, but his status as a founder.</w:t>
      </w:r>
    </w:p>
    <w:p w14:paraId="501DF536" w14:textId="77777777" w:rsidR="00076776" w:rsidRDefault="00076776"/>
    <w:p w14:paraId="2855032B" w14:textId="77777777" w:rsidR="00076776" w:rsidRDefault="00000000">
      <w:r>
        <w:lastRenderedPageBreak/>
        <w:t>4 @Map@Arg@Hist@SpacePlace@Topo</w:t>
      </w:r>
    </w:p>
    <w:p w14:paraId="60674756" w14:textId="77777777" w:rsidR="00076776" w:rsidRDefault="00000000">
      <w:pPr>
        <w:ind w:left="720"/>
      </w:pPr>
      <w:r>
        <w:t>… there is little attempt to interpret what Cook’s names themselves refer to —the specificity of his historical experience. And this is quite understandable, for it is the specificity of historical experience that is the enemy of positivist history: it is the active charge of historical time and space that undermines the cause-and-effect patterning of lives, events and facts into something significant. What would a history of Cook’s names be? Their resistance to any kind of cause-and-effect classification becomes, then, proof of their historical insignificance.</w:t>
      </w:r>
    </w:p>
    <w:p w14:paraId="7528895A" w14:textId="77777777" w:rsidR="00076776" w:rsidRDefault="00076776"/>
    <w:p w14:paraId="2F2A3D1B" w14:textId="77777777" w:rsidR="00076776" w:rsidRDefault="00000000">
      <w:r>
        <w:t>6 @Topo@CogImp@Sign@Science</w:t>
      </w:r>
    </w:p>
    <w:p w14:paraId="0276EE95" w14:textId="77777777" w:rsidR="00076776" w:rsidRDefault="00000000">
      <w:pPr>
        <w:ind w:left="720"/>
      </w:pPr>
      <w:r>
        <w:t>But, even as one imposes this biographical interpretation on Cook’s names, one sees that its coherence is illusory. … It is to ignore the historical circumstances in which the names were given - the fact that, like the places commemorated, they unfolded in time, and in space. Above all, perhaps</w:t>
      </w:r>
      <w:r>
        <w:rPr>
          <w:b/>
        </w:rPr>
        <w:t xml:space="preserve">, this impulse to classify Cook’s names as if they amount to an enigmatic memorandum advocating colonization seems to assume that words apply uniquely to objects. It denies the possibility of equivocation, forgetfulness, even a sense of humour. It assumes Cook named his coast like a botanist naming </w:t>
      </w:r>
      <w:proofErr w:type="gramStart"/>
      <w:r>
        <w:rPr>
          <w:b/>
        </w:rPr>
        <w:t>plants</w:t>
      </w:r>
      <w:proofErr w:type="gramEnd"/>
      <w:r>
        <w:rPr>
          <w:b/>
        </w:rPr>
        <w:t>.</w:t>
      </w:r>
    </w:p>
    <w:p w14:paraId="27AB7F54" w14:textId="77777777" w:rsidR="00076776" w:rsidRDefault="00076776">
      <w:pPr>
        <w:ind w:left="720"/>
        <w:rPr>
          <w:b/>
        </w:rPr>
      </w:pPr>
    </w:p>
    <w:p w14:paraId="79409201" w14:textId="77777777" w:rsidR="00076776" w:rsidRDefault="00000000">
      <w:pPr>
        <w:ind w:left="720"/>
      </w:pPr>
      <w:r>
        <w:t>7 Unlike dictionary definitions, Cook’s place names remained to be defined: they certainly claimed no finality or universal validity. On the contrary, they were deployed contextually, strategically.</w:t>
      </w:r>
    </w:p>
    <w:p w14:paraId="3D2E3510" w14:textId="77777777" w:rsidR="00076776" w:rsidRDefault="00076776">
      <w:pPr>
        <w:ind w:left="720"/>
      </w:pPr>
    </w:p>
    <w:p w14:paraId="30B674AA" w14:textId="77777777" w:rsidR="00076776" w:rsidRDefault="00000000">
      <w:r>
        <w:t>9 @Arg@Topo@Science@Hist</w:t>
      </w:r>
    </w:p>
    <w:p w14:paraId="62A66D08" w14:textId="77777777" w:rsidR="00076776" w:rsidRDefault="00000000">
      <w:r>
        <w:t xml:space="preserve">Carter spends a great deal of time on Botany Bay’s naming origins: </w:t>
      </w:r>
    </w:p>
    <w:p w14:paraId="25B1AC7E" w14:textId="77777777" w:rsidR="00076776" w:rsidRDefault="00076776"/>
    <w:p w14:paraId="2C33166C" w14:textId="77777777" w:rsidR="00076776" w:rsidRDefault="00000000">
      <w:pPr>
        <w:ind w:left="720"/>
      </w:pPr>
      <w:r>
        <w:t xml:space="preserve">Consider in this context </w:t>
      </w:r>
      <w:r>
        <w:rPr>
          <w:i/>
        </w:rPr>
        <w:t>the</w:t>
      </w:r>
      <w:r>
        <w:t xml:space="preserve"> foundational case in point: the name </w:t>
      </w:r>
      <w:r>
        <w:rPr>
          <w:b/>
        </w:rPr>
        <w:t>‘Botany Bay’</w:t>
      </w:r>
      <w:r>
        <w:t xml:space="preserve">, which </w:t>
      </w:r>
      <w:r>
        <w:rPr>
          <w:highlight w:val="magenta"/>
        </w:rPr>
        <w:t>Cook</w:t>
      </w:r>
      <w:r>
        <w:t xml:space="preserve"> gave to his first landfall on the coast of New Holland and in which he recorded the delight of his two botanists, Joseph </w:t>
      </w:r>
      <w:r>
        <w:rPr>
          <w:highlight w:val="magenta"/>
        </w:rPr>
        <w:t>Banks</w:t>
      </w:r>
      <w:r>
        <w:t xml:space="preserve"> and Daniel Charles </w:t>
      </w:r>
      <w:r>
        <w:rPr>
          <w:highlight w:val="magenta"/>
        </w:rPr>
        <w:t>Solander</w:t>
      </w:r>
      <w:r>
        <w:t>, in finding a country so rich in floral novelties.</w:t>
      </w:r>
    </w:p>
    <w:p w14:paraId="3EEFED00" w14:textId="77777777" w:rsidR="00076776" w:rsidRDefault="00076776"/>
    <w:p w14:paraId="1563E295" w14:textId="77777777" w:rsidR="00076776" w:rsidRDefault="00000000">
      <w:r>
        <w:rPr>
          <w:highlight w:val="green"/>
        </w:rPr>
        <w:t>13</w:t>
      </w:r>
      <w:r>
        <w:t xml:space="preserve"> @Topo@ManDest@Arg</w:t>
      </w:r>
    </w:p>
    <w:p w14:paraId="33F82FD8" w14:textId="77777777" w:rsidR="00076776" w:rsidRDefault="00000000">
      <w:r>
        <w:t xml:space="preserve">This is an important assertion: </w:t>
      </w:r>
    </w:p>
    <w:p w14:paraId="53503068" w14:textId="77777777" w:rsidR="00076776" w:rsidRDefault="00076776"/>
    <w:p w14:paraId="465DF5CD" w14:textId="77777777" w:rsidR="00076776" w:rsidRDefault="00000000">
      <w:pPr>
        <w:ind w:left="720"/>
      </w:pPr>
      <w:r>
        <w:t xml:space="preserve">The corollary of interpreting place names as </w:t>
      </w:r>
      <w:r>
        <w:rPr>
          <w:b/>
        </w:rPr>
        <w:t>disguised historical facts</w:t>
      </w:r>
      <w:r>
        <w:t xml:space="preserve"> is that, more than ever, the </w:t>
      </w:r>
      <w:r>
        <w:rPr>
          <w:b/>
        </w:rPr>
        <w:t>name itself becomes an arbitrary imposition on the place</w:t>
      </w:r>
      <w:r>
        <w:t>, a linguistic gesture without a local topographical or traditional justification.</w:t>
      </w:r>
    </w:p>
    <w:p w14:paraId="1DAB8228" w14:textId="77777777" w:rsidR="00076776" w:rsidRDefault="00076776">
      <w:pPr>
        <w:ind w:left="720"/>
      </w:pPr>
    </w:p>
    <w:p w14:paraId="57ACF359" w14:textId="77777777" w:rsidR="00076776" w:rsidRDefault="00000000">
      <w:r>
        <w:t>In other words, in understanding naming as “destiny” we strip the toponym of its spatial specificity. The counter-reading to this approach is offered on p. 14:</w:t>
      </w:r>
    </w:p>
    <w:p w14:paraId="21008DBA" w14:textId="77777777" w:rsidR="00076776" w:rsidRDefault="00076776"/>
    <w:p w14:paraId="2D49DDBB" w14:textId="77777777" w:rsidR="00076776" w:rsidRDefault="00000000">
      <w:pPr>
        <w:ind w:left="720"/>
      </w:pPr>
      <w:r>
        <w:t xml:space="preserve">14 Suppose, though, we do not take a name like ‘Botany Bay’ out of </w:t>
      </w:r>
      <w:proofErr w:type="gramStart"/>
      <w:r>
        <w:t>context, but</w:t>
      </w:r>
      <w:proofErr w:type="gramEnd"/>
      <w:r>
        <w:t xml:space="preserve"> </w:t>
      </w:r>
      <w:r>
        <w:rPr>
          <w:b/>
        </w:rPr>
        <w:t>read it in the context of the journal where it occurs</w:t>
      </w:r>
      <w:r>
        <w:t xml:space="preserve">. Rather than attempt to explain it away, suppose we pay attention to its place in the text - a text, after all, with a definite narrative direction. Then, </w:t>
      </w:r>
      <w:r>
        <w:rPr>
          <w:b/>
        </w:rPr>
        <w:t>instead of appearing arbitrary, the name emerges as an accurate expression of the experience of travelling.</w:t>
      </w:r>
      <w:r>
        <w:t xml:space="preserve"> It becomes a characteristic figure of speech </w:t>
      </w:r>
      <w:r>
        <w:lastRenderedPageBreak/>
        <w:t>to evoke the nature of exploration, with its zigzag course of erasures, revisions, provisional harbours and invisible reefs.</w:t>
      </w:r>
    </w:p>
    <w:p w14:paraId="05CC1B84" w14:textId="77777777" w:rsidR="00076776" w:rsidRDefault="00076776"/>
    <w:p w14:paraId="02483C7F" w14:textId="77777777" w:rsidR="00076776" w:rsidRDefault="00000000">
      <w:r>
        <w:t xml:space="preserve">And, articulated, again on p. 17: </w:t>
      </w:r>
    </w:p>
    <w:p w14:paraId="284587B0" w14:textId="77777777" w:rsidR="00076776" w:rsidRDefault="00076776"/>
    <w:p w14:paraId="0E734395" w14:textId="77777777" w:rsidR="00076776" w:rsidRDefault="00000000">
      <w:pPr>
        <w:ind w:left="720"/>
      </w:pPr>
      <w:r>
        <w:t xml:space="preserve">Seeing ‘Botany Bay’ the name as a characteristic device of travelling texts enables us to free the name of its posthumous mythology, to see it as a link forging the discontinuous entries of the ship’s log into a continuous narrative. The world it refers to is the world of the text, not the mind of the author, nor even the collective ambition of the British government. Freed of these superstitious encumbrances, the name becomes one of a series of nominal strategies for articulating </w:t>
      </w:r>
      <w:r>
        <w:rPr>
          <w:b/>
        </w:rPr>
        <w:t>the dynamic of journeying</w:t>
      </w:r>
      <w:r>
        <w:t xml:space="preserve">; it discovers its logic in </w:t>
      </w:r>
      <w:r>
        <w:rPr>
          <w:b/>
        </w:rPr>
        <w:t>the twin processes of reading and travelling</w:t>
      </w:r>
      <w:r>
        <w:t>.</w:t>
      </w:r>
    </w:p>
    <w:p w14:paraId="76F47109" w14:textId="77777777" w:rsidR="00076776" w:rsidRDefault="00076776">
      <w:pPr>
        <w:ind w:left="720"/>
      </w:pPr>
    </w:p>
    <w:p w14:paraId="1AA1522B" w14:textId="77777777" w:rsidR="00076776" w:rsidRDefault="00000000">
      <w:r>
        <w:t>20 @Topo@Arg@Hist@Epistem@CogImp@Reason</w:t>
      </w:r>
    </w:p>
    <w:p w14:paraId="39DA04AD" w14:textId="77777777" w:rsidR="00076776" w:rsidRDefault="00000000">
      <w:pPr>
        <w:ind w:left="720"/>
      </w:pPr>
      <w:r>
        <w:t xml:space="preserve">The pleasure of the plant collector, then, was a pleasure in naming uniquely and systematically. It was the pleasure of arrangement within a </w:t>
      </w:r>
      <w:r>
        <w:rPr>
          <w:b/>
        </w:rPr>
        <w:t>universal taxonomy</w:t>
      </w:r>
      <w:r>
        <w:t xml:space="preserve">, a taxonomy characterized by tree-like ramifications - in short, a pleasure analogous to that felt by the </w:t>
      </w:r>
      <w:r>
        <w:rPr>
          <w:b/>
        </w:rPr>
        <w:t>imperial historian, who assimilates occasions and anomalies to the logic of universal reason.</w:t>
      </w:r>
    </w:p>
    <w:p w14:paraId="7BF23E81" w14:textId="77777777" w:rsidR="00076776" w:rsidRDefault="00076776">
      <w:pPr>
        <w:ind w:left="720"/>
        <w:rPr>
          <w:b/>
        </w:rPr>
      </w:pPr>
    </w:p>
    <w:p w14:paraId="1754DD04" w14:textId="77777777" w:rsidR="00076776" w:rsidRDefault="00000000">
      <w:r>
        <w:t>23 @Map@Reason@TN</w:t>
      </w:r>
    </w:p>
    <w:p w14:paraId="2DAFA990" w14:textId="77777777" w:rsidR="00076776" w:rsidRDefault="00000000">
      <w:pPr>
        <w:ind w:left="720"/>
      </w:pPr>
      <w:r>
        <w:t xml:space="preserve">… from the traveller’s point of view, </w:t>
      </w:r>
      <w:r>
        <w:rPr>
          <w:b/>
        </w:rPr>
        <w:t xml:space="preserve">Cook’s journal gains or loses nothing by its discoveries: what matters is the </w:t>
      </w:r>
      <w:r>
        <w:rPr>
          <w:b/>
          <w:i/>
        </w:rPr>
        <w:t>quality</w:t>
      </w:r>
      <w:r>
        <w:rPr>
          <w:b/>
        </w:rPr>
        <w:t xml:space="preserve"> of the travelling it reveals</w:t>
      </w:r>
      <w:r>
        <w:t>. In contrast with the botanist, Cook’s geo-</w:t>
      </w:r>
      <w:proofErr w:type="spellStart"/>
      <w:r>
        <w:t>graphy</w:t>
      </w:r>
      <w:proofErr w:type="spellEnd"/>
      <w:r>
        <w:t xml:space="preserve">, his writing of lands, was inseparable from the conditions of the inquiry itself. The same calculations that enabled him to steer a course also enabled him to leave the coastlines he sighted where they were. This was the essence of the maps he made, that they did not mirror the appearance of natural objects, but preserved the trace of encountering them. </w:t>
      </w:r>
      <w:r>
        <w:rPr>
          <w:b/>
        </w:rPr>
        <w:t xml:space="preserve">Despite its </w:t>
      </w:r>
      <w:r>
        <w:rPr>
          <w:b/>
          <w:i/>
        </w:rPr>
        <w:t>tabula rasa</w:t>
      </w:r>
      <w:r>
        <w:rPr>
          <w:b/>
        </w:rPr>
        <w:t xml:space="preserve"> appearance, the map was, from the beginning, designed to record </w:t>
      </w:r>
      <w:proofErr w:type="gramStart"/>
      <w:r>
        <w:rPr>
          <w:b/>
        </w:rPr>
        <w:t>particular information</w:t>
      </w:r>
      <w:proofErr w:type="gramEnd"/>
      <w:r>
        <w:t>. [24] … But, whereas the blank surround of the botanical plate was dead, the blank spaces of the map were active, locating future histories.</w:t>
      </w:r>
    </w:p>
    <w:p w14:paraId="4708BB40" w14:textId="77777777" w:rsidR="00076776" w:rsidRDefault="00076776">
      <w:pPr>
        <w:ind w:left="720"/>
      </w:pPr>
    </w:p>
    <w:p w14:paraId="35045A19" w14:textId="77777777" w:rsidR="00076776" w:rsidRDefault="00000000">
      <w:r>
        <w:rPr>
          <w:highlight w:val="green"/>
        </w:rPr>
        <w:t>24-25</w:t>
      </w:r>
      <w:r>
        <w:t xml:space="preserve"> @Epistem@SpacePlace@Arg</w:t>
      </w:r>
    </w:p>
    <w:p w14:paraId="03012E61" w14:textId="77777777" w:rsidR="00076776" w:rsidRDefault="00000000">
      <w:pPr>
        <w:ind w:left="720"/>
      </w:pPr>
      <w:r>
        <w:t xml:space="preserve">Primary knowledge lay </w:t>
      </w:r>
      <w:proofErr w:type="gramStart"/>
      <w:r>
        <w:t>in the course of</w:t>
      </w:r>
      <w:proofErr w:type="gramEnd"/>
      <w:r>
        <w:t xml:space="preserve"> the exploration itself, not in the elaboration of possible discoveries. To ensure his ship handled well was not to exhibit the boorishness of a professional sailor, but to protect the integrity of exploring as a mode of knowing. It was to suggest travelling itself was knowledge and not merely the fruits of travel. / This difference between Banks’s interest in botanical novelties and Cook’s devotion to navigation can also be expressed in terms of </w:t>
      </w:r>
      <w:r>
        <w:rPr>
          <w:highlight w:val="green"/>
        </w:rPr>
        <w:t>the difference between exploration and discovery</w:t>
      </w:r>
      <w:r>
        <w:t xml:space="preserve">. For, </w:t>
      </w:r>
      <w:r>
        <w:rPr>
          <w:b/>
        </w:rPr>
        <w:t>while discovery rests on the assumption of a world of facts waiting to be found, collected and classified, a world in which the neutral observer is not implicated, exploration lays stress on the observer’s active engagement with his environment: it recognizes phenomena as offspring of his intention to explore</w:t>
      </w:r>
      <w:r>
        <w:t>.</w:t>
      </w:r>
    </w:p>
    <w:p w14:paraId="5F5CE2AE" w14:textId="77777777" w:rsidR="00076776" w:rsidRDefault="00076776"/>
    <w:p w14:paraId="097103D6" w14:textId="77777777" w:rsidR="00076776" w:rsidRDefault="00000000">
      <w:r>
        <w:t xml:space="preserve">More on the distinctions between exploration and discovery: </w:t>
      </w:r>
    </w:p>
    <w:p w14:paraId="4FACCBF5" w14:textId="77777777" w:rsidR="00076776" w:rsidRDefault="00076776"/>
    <w:p w14:paraId="33195E15" w14:textId="77777777" w:rsidR="00076776" w:rsidRDefault="00000000">
      <w:pPr>
        <w:ind w:left="720"/>
      </w:pPr>
      <w:r>
        <w:lastRenderedPageBreak/>
        <w:t>26-27: In adopting them, Cook’s object was, as far as possible, to leave the ‘places’ as he found them, just as his maps did. To name them was to invent them, to bring them into cultural circulation. But the metaphorical function of his names - and this was embodied in their resistance to empirical paraphrase - was to leave the place uncharacterized. It was as if Cook’s aim was not to fill the world up with objects but, rather, to erase its surface as far as possible of mythic excrescences.</w:t>
      </w:r>
    </w:p>
    <w:p w14:paraId="6F3B0A91" w14:textId="77777777" w:rsidR="00076776" w:rsidRDefault="00076776"/>
    <w:p w14:paraId="47114CB2" w14:textId="77777777" w:rsidR="00076776" w:rsidRDefault="00000000">
      <w:r>
        <w:rPr>
          <w:highlight w:val="green"/>
        </w:rPr>
        <w:t>29</w:t>
      </w:r>
      <w:r>
        <w:t xml:space="preserve"> @Reason@Topo@Para@</w:t>
      </w:r>
      <w:proofErr w:type="gramStart"/>
      <w:r>
        <w:t>Diss?@</w:t>
      </w:r>
      <w:proofErr w:type="gramEnd"/>
      <w:r>
        <w:t>FFessay</w:t>
      </w:r>
    </w:p>
    <w:p w14:paraId="7DB8116A" w14:textId="77777777" w:rsidR="00076776" w:rsidRDefault="00000000">
      <w:r>
        <w:t xml:space="preserve">Maybe the best quote in the chapter? </w:t>
      </w:r>
    </w:p>
    <w:p w14:paraId="19811E06" w14:textId="77777777" w:rsidR="00076776" w:rsidRDefault="00076776"/>
    <w:p w14:paraId="09699217" w14:textId="77777777" w:rsidR="00076776" w:rsidRDefault="00000000">
      <w:pPr>
        <w:ind w:left="720"/>
      </w:pPr>
      <w:r>
        <w:t>For Banks, names enjoyed a simple, Linnaean relationship with the object they denoted. They gave the illusion of knowing under the guise of naming. Cook’s names obey a different, more oblique logic, the logic of metaphor. His names do not intend to preserve the delusion of objectivity, for his standpoint is neither neutral nor static. Instead, they draw geographical objects into the space of his passage. The paradox is that Cook’s more wilful practice, his greater subjectivity, succeeds where Banks’s unreflective objectivity does not in preserving what is named.</w:t>
      </w:r>
    </w:p>
    <w:p w14:paraId="321641E4" w14:textId="77777777" w:rsidR="00076776" w:rsidRDefault="00076776"/>
    <w:p w14:paraId="1AEA90E3" w14:textId="77777777" w:rsidR="00076776" w:rsidRDefault="00000000">
      <w:r>
        <w:t>30 @Phenom@Rhet@Topo</w:t>
      </w:r>
    </w:p>
    <w:p w14:paraId="33C50BC3" w14:textId="77777777" w:rsidR="00076776" w:rsidRDefault="00076776"/>
    <w:p w14:paraId="296113A1" w14:textId="77777777" w:rsidR="00076776" w:rsidRDefault="00000000">
      <w:pPr>
        <w:ind w:left="720"/>
      </w:pPr>
      <w:r>
        <w:rPr>
          <w:highlight w:val="magenta"/>
        </w:rPr>
        <w:t>Locke</w:t>
      </w:r>
      <w:r>
        <w:t xml:space="preserve">’s imagery of sinuous paths is peculiarly interesting for … the greatest significance for spatial history; which is that rhetoric, the whole range of figurative terms by which we denominate the world, attempting to translate it into plausible conceptions, is itself fundamentally spatial in nature. </w:t>
      </w:r>
      <w:r>
        <w:rPr>
          <w:b/>
        </w:rPr>
        <w:t>Metaphor, for instance, is quite literally a spatial figure of speech</w:t>
      </w:r>
      <w:r>
        <w:t>: in a static sense, it stands in for or in place of something else —in this way, it makes what was invisible or only dimly perceptible emerge clearly before our eyes; in a mobile sense, metaphor carries meaning over, brings distant things near or even runs alongside normal usage on a parallel track. Figures of speech, place names among them, correspond symbolically to the scope of exploration itself: they are a means of making sinuous paths comprehensible, a means of recording the journey as it impresses itself on the consciousness.</w:t>
      </w:r>
    </w:p>
    <w:p w14:paraId="0C3ACE86" w14:textId="77777777" w:rsidR="00076776" w:rsidRDefault="00076776"/>
    <w:p w14:paraId="4711A5A6" w14:textId="77777777" w:rsidR="00076776" w:rsidRDefault="00000000">
      <w:r>
        <w:rPr>
          <w:highlight w:val="green"/>
        </w:rPr>
        <w:t>33</w:t>
      </w:r>
      <w:r>
        <w:t xml:space="preserve"> @CGaze@Arg@ManDest@Topo</w:t>
      </w:r>
    </w:p>
    <w:p w14:paraId="0B0CA946" w14:textId="77777777" w:rsidR="00076776" w:rsidRDefault="00000000">
      <w:r>
        <w:t xml:space="preserve">Pretty much sums up Carter’s defence (?) of Cook’s approach to toponymy: </w:t>
      </w:r>
    </w:p>
    <w:p w14:paraId="7FC69F58" w14:textId="77777777" w:rsidR="00076776" w:rsidRDefault="00076776"/>
    <w:p w14:paraId="01DBE6AA" w14:textId="77777777" w:rsidR="00076776" w:rsidRDefault="00000000">
      <w:pPr>
        <w:ind w:left="720"/>
      </w:pPr>
      <w:r>
        <w:t xml:space="preserve">The world view embodied in his naming practice stood at odds with the aims of imperialism. Oriented towards the solution of problems, attentive to the changing hues of water and horizon, Cook’s travelling embodied an attitude essential to the colonization of Australia. It was not Banks’s imperial gaze, passive and static, that later explorers and settlers borrowed when they made their way in Australia, but the open-ended, imaginative vision of Cook. It was Cook’s example they followed in writing up their journals and in drawing their maps. </w:t>
      </w:r>
      <w:r>
        <w:rPr>
          <w:b/>
        </w:rPr>
        <w:t>It is in this respect that Cook was a foundational figure: although he found a country, Cook did not aim to found a colony</w:t>
      </w:r>
      <w:r>
        <w:t>.</w:t>
      </w:r>
    </w:p>
    <w:p w14:paraId="6C2CA640" w14:textId="77777777" w:rsidR="00076776" w:rsidRDefault="00076776"/>
    <w:p w14:paraId="07F2E2B0" w14:textId="77777777" w:rsidR="00076776" w:rsidRDefault="00000000">
      <w:pPr>
        <w:pStyle w:val="Heading4"/>
      </w:pPr>
      <w:r>
        <w:lastRenderedPageBreak/>
        <w:t>Chapter 5</w:t>
      </w:r>
    </w:p>
    <w:p w14:paraId="0BEF2087" w14:textId="77777777" w:rsidR="00076776" w:rsidRDefault="00000000">
      <w:r>
        <w:t>@Summ: a look at the politics of “Debatable Land” and, ultimately, the pioneering paradox: “hat what is gained occurs at the price of irremediable loss” (171).</w:t>
      </w:r>
    </w:p>
    <w:p w14:paraId="6FBFA36C" w14:textId="77777777" w:rsidR="00076776" w:rsidRDefault="00076776"/>
    <w:p w14:paraId="25ED51E9" w14:textId="77777777" w:rsidR="00076776" w:rsidRDefault="00000000">
      <w:r>
        <w:t>136 @MandDest@Map@NeoCol@</w:t>
      </w:r>
      <w:proofErr w:type="gramStart"/>
      <w:r>
        <w:t>L?@</w:t>
      </w:r>
      <w:proofErr w:type="gramEnd"/>
      <w:r>
        <w:t>Ling</w:t>
      </w:r>
    </w:p>
    <w:p w14:paraId="1C6C0BDF" w14:textId="77777777" w:rsidR="00076776" w:rsidRDefault="00000000">
      <w:pPr>
        <w:ind w:left="720"/>
      </w:pPr>
      <w:r>
        <w:rPr>
          <w:b/>
        </w:rPr>
        <w:t>Debatable Land</w:t>
      </w:r>
      <w:r>
        <w:t xml:space="preserve">: “…an area that early maps showing aboriginal tribal divisions describe as ‘Debatable Land’ … land that no one laid claim to, or it was land whose ownership was disputed. Either way, it “was land that had not been settled. … ‘Debatable Land’ refers not so much to aboriginal beliefs, as to certain assumptions of their white interrogators. </w:t>
      </w:r>
    </w:p>
    <w:p w14:paraId="781034A3" w14:textId="77777777" w:rsidR="00076776" w:rsidRDefault="00076776"/>
    <w:p w14:paraId="20C04E1F" w14:textId="77777777" w:rsidR="00076776" w:rsidRDefault="00000000">
      <w:r>
        <w:t xml:space="preserve">137 @EG: Good example in this case study on naming: </w:t>
      </w:r>
    </w:p>
    <w:p w14:paraId="0C81CD50" w14:textId="77777777" w:rsidR="00076776" w:rsidRDefault="00000000">
      <w:pPr>
        <w:ind w:left="720"/>
      </w:pPr>
      <w:r>
        <w:t xml:space="preserve">Chilwell was a point of reference; it had become an intentional object; a place had been linguistically settled. … In naming Chilwell, the Austins behaved as Sturt did when he named Mount Misery: in both cases, </w:t>
      </w:r>
      <w:r>
        <w:rPr>
          <w:b/>
        </w:rPr>
        <w:t>names preceded places</w:t>
      </w:r>
      <w:r>
        <w:t>.</w:t>
      </w:r>
    </w:p>
    <w:p w14:paraId="6AAE2591" w14:textId="77777777" w:rsidR="00076776" w:rsidRDefault="00076776"/>
    <w:p w14:paraId="35E40BA9" w14:textId="77777777" w:rsidR="00076776" w:rsidRDefault="00000000">
      <w:r>
        <w:t xml:space="preserve">@K? Re: “Names preceding places” suggests a kind of </w:t>
      </w:r>
      <w:r>
        <w:rPr>
          <w:i/>
        </w:rPr>
        <w:t>naming from</w:t>
      </w:r>
      <w:r>
        <w:t xml:space="preserve"> versus and </w:t>
      </w:r>
      <w:r>
        <w:rPr>
          <w:i/>
        </w:rPr>
        <w:t>naming to</w:t>
      </w:r>
      <w:r>
        <w:t xml:space="preserve">, whereby the latter is the simulacrum of “home,” and the former the reaction to space/place? </w:t>
      </w:r>
    </w:p>
    <w:p w14:paraId="08A02006" w14:textId="77777777" w:rsidR="00076776" w:rsidRDefault="00076776"/>
    <w:p w14:paraId="01F9408E" w14:textId="77777777" w:rsidR="00076776" w:rsidRDefault="00000000">
      <w:r>
        <w:t>@SettPsych@Topo</w:t>
      </w:r>
    </w:p>
    <w:p w14:paraId="522E27CE" w14:textId="77777777" w:rsidR="00076776" w:rsidRDefault="00000000">
      <w:pPr>
        <w:ind w:left="720"/>
      </w:pPr>
      <w:r>
        <w:t>This process of ‘settling’ the country can be expressed in grammatical terms: to name a space, to turn it into a negotiable place, was like constructing a sentence.</w:t>
      </w:r>
    </w:p>
    <w:p w14:paraId="4FB9E7B9" w14:textId="77777777" w:rsidR="00076776" w:rsidRDefault="00076776">
      <w:pPr>
        <w:rPr>
          <w:b/>
        </w:rPr>
      </w:pPr>
    </w:p>
    <w:p w14:paraId="29FB858A" w14:textId="77777777" w:rsidR="00076776" w:rsidRDefault="00000000">
      <w:r>
        <w:rPr>
          <w:highlight w:val="green"/>
        </w:rPr>
        <w:t>@Topo</w:t>
      </w:r>
      <w:r>
        <w:t>@</w:t>
      </w:r>
      <w:proofErr w:type="gramStart"/>
      <w:r>
        <w:t>L?@</w:t>
      </w:r>
      <w:proofErr w:type="gramEnd"/>
      <w:r>
        <w:t>SettPsyche@Law@Arg</w:t>
      </w:r>
    </w:p>
    <w:p w14:paraId="313ED71A" w14:textId="77777777" w:rsidR="00076776" w:rsidRDefault="00000000">
      <w:r>
        <w:t xml:space="preserve">This describes to me the psychological mechanics of settler-naming practices: </w:t>
      </w:r>
    </w:p>
    <w:p w14:paraId="52CEBD5C" w14:textId="77777777" w:rsidR="00076776" w:rsidRDefault="00076776"/>
    <w:p w14:paraId="6043661C" w14:textId="77777777" w:rsidR="00076776" w:rsidRDefault="00000000">
      <w:pPr>
        <w:ind w:left="720"/>
      </w:pPr>
      <w:r>
        <w:rPr>
          <w:b/>
        </w:rPr>
        <w:t>Implicit in the question, to whom does this land belong</w:t>
      </w:r>
      <w:r>
        <w:t xml:space="preserve">, are territorial notions possibly incomprehensible to those questioned. To debate the ownership of land is to think of the land in question as a region, a geographical object that can be treated in isolation, as a legal or economic unit. … But the descriptive phrase ‘Debatable Land’ has another significance. It reminds us that the process of settlement was not a laconic replacement of one culture by another, a mechanical imposition of superior technology, a simple, physical </w:t>
      </w:r>
      <w:r>
        <w:rPr>
          <w:b/>
        </w:rPr>
        <w:t>‘taming’ of the land</w:t>
      </w:r>
      <w:r>
        <w:t>, but, on the contrary, a process of teaching the country to speak. One facet of this process involved asking the Aborigines their names for the country —and it may well be that the relative failure of Whites in Australia to incorporate aboriginal concepts into their language is one reason why English here continues to float, as it were, off the ground and why, despite its ability to name isolated objects, its poetic power to evoke the living space remains patchy. Particularly in the absence of a bilingual nomenclature, the would-be settler was more than ever obliged to settle the country rhetorically, rather than etymologically: he had, more than ever, to conjure up the object of his desire and, through the act of articulating it, to bring it into being.</w:t>
      </w:r>
    </w:p>
    <w:p w14:paraId="14B12B66" w14:textId="77777777" w:rsidR="00076776" w:rsidRDefault="00076776">
      <w:pPr>
        <w:ind w:left="720"/>
      </w:pPr>
    </w:p>
    <w:p w14:paraId="6BDA98C1" w14:textId="77777777" w:rsidR="00076776" w:rsidRDefault="00000000">
      <w:r>
        <w:t>154-55 @CGaze@SpacePlace@Ontology@Eco@SettPsych@Aes</w:t>
      </w:r>
    </w:p>
    <w:p w14:paraId="3C2326DD" w14:textId="77777777" w:rsidR="00076776" w:rsidRDefault="00000000">
      <w:pPr>
        <w:ind w:left="720"/>
      </w:pPr>
      <w:r>
        <w:t xml:space="preserve">… before nature could be loved, it had to be conceptualized as a place, a visible object. A distance had to be created between the observer and what she saw. To embrace the inexhaustible wealth of nature, she needed to be able to stand back from it, pointing it out </w:t>
      </w:r>
      <w:r>
        <w:lastRenderedPageBreak/>
        <w:t xml:space="preserve">from a secure vantage point. / In other words, </w:t>
      </w:r>
      <w:proofErr w:type="spellStart"/>
      <w:r>
        <w:t>Mrs</w:t>
      </w:r>
      <w:proofErr w:type="spellEnd"/>
      <w:r>
        <w:t xml:space="preserve"> Williams’s favourable view of that ‘spot down by the river’ depended on the fence that separated it from her garden. For it was the fence that established it as a spot clearly outside the clearing. By the same token, though, the </w:t>
      </w:r>
      <w:r>
        <w:rPr>
          <w:i/>
        </w:rPr>
        <w:t xml:space="preserve">pleasure </w:t>
      </w:r>
      <w:r>
        <w:t xml:space="preserve">she takes in the view depends on trespassing there: for </w:t>
      </w:r>
      <w:r>
        <w:rPr>
          <w:b/>
        </w:rPr>
        <w:t>home does not shut out the forest, but transforms it into a cultural object</w:t>
      </w:r>
      <w:r>
        <w:t xml:space="preserve">, </w:t>
      </w:r>
      <w:r>
        <w:rPr>
          <w:b/>
        </w:rPr>
        <w:t>a wildness into a kind of beauty.</w:t>
      </w:r>
    </w:p>
    <w:p w14:paraId="2B96C4C7" w14:textId="77777777" w:rsidR="00076776" w:rsidRDefault="00076776"/>
    <w:p w14:paraId="5207CDA0" w14:textId="77777777" w:rsidR="00076776" w:rsidRDefault="00000000">
      <w:r>
        <w:rPr>
          <w:highlight w:val="green"/>
        </w:rPr>
        <w:t>155</w:t>
      </w:r>
      <w:r>
        <w:t xml:space="preserve"> @Border@MandDest</w:t>
      </w:r>
    </w:p>
    <w:p w14:paraId="106849F8" w14:textId="77777777" w:rsidR="00076776" w:rsidRDefault="00000000">
      <w:pPr>
        <w:ind w:left="720"/>
      </w:pPr>
      <w:r>
        <w:t xml:space="preserve">The settler’s proliferating boundaries are not simply physical necessities: </w:t>
      </w:r>
      <w:r>
        <w:rPr>
          <w:b/>
        </w:rPr>
        <w:t>they serve the symbolic function of making a place that speaks, a place with a history</w:t>
      </w:r>
      <w:r>
        <w:t xml:space="preserve">. … And one can say that the chief symbolic function of boundaries is, among other things, to incorporate the sensation of travelling into a static or near-static existence. … They are </w:t>
      </w:r>
      <w:r>
        <w:rPr>
          <w:b/>
        </w:rPr>
        <w:t>places of exchange where the sensation of journeying is vicariously relived</w:t>
      </w:r>
      <w:r>
        <w:t>.</w:t>
      </w:r>
    </w:p>
    <w:p w14:paraId="0BEA7694" w14:textId="77777777" w:rsidR="00076776" w:rsidRDefault="00076776"/>
    <w:p w14:paraId="3CD3CA2E" w14:textId="77777777" w:rsidR="00076776" w:rsidRDefault="00000000">
      <w:r>
        <w:t xml:space="preserve">@K? Can we see these settler stories as nascent roots predictive, or </w:t>
      </w:r>
      <w:r>
        <w:rPr>
          <w:i/>
        </w:rPr>
        <w:t>expectant</w:t>
      </w:r>
      <w:r>
        <w:t xml:space="preserve">, of a narrative tree of permanence? This is a kind of </w:t>
      </w:r>
      <w:r>
        <w:rPr>
          <w:i/>
        </w:rPr>
        <w:t>rhetorical</w:t>
      </w:r>
      <w:r>
        <w:t xml:space="preserve"> manifest destiny, through which the invention of boundary is required in order for the story, the “place with a history,” to have linearity, a place on the ontological continuum—in the Western tradition, an Eden to begin it and a Rapture to end it, which is really another metaphorical frontier to be settled by the chosen. Carter alludes to this move: “In this sense, the act of enclosure permeates the entire structure of settler society: for without the invention of differences, communication would have been impossible” (155-56). </w:t>
      </w:r>
      <w:proofErr w:type="gramStart"/>
      <w:r>
        <w:t>And,</w:t>
      </w:r>
      <w:proofErr w:type="gramEnd"/>
      <w:r>
        <w:t xml:space="preserve"> later (157): “It is not simply that the newcomer is too busy to write. He has yet to enclose a place in which history can begin to occur, a clearing where he can express himself. The dependence of writing on a place to write is, then, anything but trivial. It turns out to be a boundary condition </w:t>
      </w:r>
      <w:proofErr w:type="gramStart"/>
      <w:r>
        <w:t>for the production of</w:t>
      </w:r>
      <w:proofErr w:type="gramEnd"/>
      <w:r>
        <w:t xml:space="preserve"> history.”</w:t>
      </w:r>
    </w:p>
    <w:p w14:paraId="24002C51" w14:textId="77777777" w:rsidR="00076776" w:rsidRDefault="00076776"/>
    <w:p w14:paraId="35B0DE97" w14:textId="77777777" w:rsidR="00076776" w:rsidRDefault="00000000">
      <w:r>
        <w:t>157-58 @LitThe@</w:t>
      </w:r>
      <w:proofErr w:type="gramStart"/>
      <w:r>
        <w:t>Link:Derrida</w:t>
      </w:r>
      <w:proofErr w:type="gramEnd"/>
      <w:r>
        <w:t>@Narr@SpacePlace@Hist</w:t>
      </w:r>
    </w:p>
    <w:p w14:paraId="5D58256A" w14:textId="77777777" w:rsidR="00076776" w:rsidRDefault="00000000">
      <w:pPr>
        <w:ind w:left="720"/>
      </w:pPr>
      <w:r>
        <w:t xml:space="preserve">The linearity of writing (in contrast with the multi- dimensionality of experience) and the linearity of the logic it expresses reflects neither the nature of experience nor, for that matter, of history, but rather the limitations of the medium. / Because of these limitations Jacques Derrida has called for a different kind of writing, one that lets one ‘reread past writing according to a different organization of space’. </w:t>
      </w:r>
    </w:p>
    <w:p w14:paraId="19A03631" w14:textId="77777777" w:rsidR="00076776" w:rsidRDefault="00076776"/>
    <w:p w14:paraId="324BB1BF" w14:textId="77777777" w:rsidR="00076776" w:rsidRDefault="00000000">
      <w:r>
        <w:rPr>
          <w:highlight w:val="green"/>
        </w:rPr>
        <w:t>162</w:t>
      </w:r>
      <w:r>
        <w:t xml:space="preserve"> @Epistem@NeoCol@CogImp@Hist@IndHist</w:t>
      </w:r>
    </w:p>
    <w:p w14:paraId="1CEEABDA" w14:textId="77777777" w:rsidR="00076776" w:rsidRDefault="00000000">
      <w:pPr>
        <w:ind w:left="720"/>
      </w:pPr>
      <w:r>
        <w:t>Reynolds’s assumption that aboriginal history can be treated in the same way as white history is itself a form of frontier rhetoric. For, unintentionally no doubt, it has the effect of suppressing the difference of Aboriginal history - a difference not simply of content but of form. … No doubt white historians have suppressed or disregarded much aboriginal evidence. But simply to bring such evidence to light does not of itself constitute an accurate account of the aboriginal experience. The evidence still stands in need of interpretation.</w:t>
      </w:r>
    </w:p>
    <w:p w14:paraId="0B439E45" w14:textId="77777777" w:rsidR="00076776" w:rsidRDefault="00076776"/>
    <w:p w14:paraId="3C1B68E6" w14:textId="77777777" w:rsidR="00076776" w:rsidRDefault="00000000">
      <w:r>
        <w:rPr>
          <w:highlight w:val="green"/>
        </w:rPr>
        <w:t>162-63</w:t>
      </w:r>
      <w:r>
        <w:t xml:space="preserve"> @Border@SettPsych@SpacePlace</w:t>
      </w:r>
    </w:p>
    <w:p w14:paraId="0294235D" w14:textId="77777777" w:rsidR="00076776" w:rsidRDefault="00000000">
      <w:pPr>
        <w:ind w:left="720"/>
      </w:pPr>
      <w:r>
        <w:t xml:space="preserve">Clearly, if the </w:t>
      </w:r>
      <w:r>
        <w:rPr>
          <w:b/>
        </w:rPr>
        <w:t>idea of the boundary as a barrier is one peculiar to our culture</w:t>
      </w:r>
      <w:r>
        <w:t xml:space="preserve">, it is of little use in describing aboriginal concepts of social and spatial organization. … although anthropologists have differed in their definitions, they have generally attempted to define </w:t>
      </w:r>
      <w:r>
        <w:lastRenderedPageBreak/>
        <w:t xml:space="preserve">the ‘tribe’ and its ‘territory’ in terms of each other. … For, </w:t>
      </w:r>
      <w:r>
        <w:rPr>
          <w:b/>
        </w:rPr>
        <w:t>implicit in any discussion of tribe or territory are, of course, certain assumptions about boundaries.</w:t>
      </w:r>
      <w:r>
        <w:t xml:space="preserve"> As Nicholas Peterson, the editor of </w:t>
      </w:r>
      <w:r>
        <w:rPr>
          <w:i/>
        </w:rPr>
        <w:t xml:space="preserve">Tribes and Boundaries in Australia </w:t>
      </w:r>
      <w:r>
        <w:t>(1976), remarks:</w:t>
      </w:r>
    </w:p>
    <w:p w14:paraId="081D582B" w14:textId="77777777" w:rsidR="00076776" w:rsidRDefault="00076776">
      <w:pPr>
        <w:ind w:left="720"/>
      </w:pPr>
    </w:p>
    <w:p w14:paraId="68CC11A2" w14:textId="77777777" w:rsidR="00076776" w:rsidRDefault="00000000">
      <w:pPr>
        <w:ind w:left="1440"/>
      </w:pPr>
      <w:r>
        <w:rPr>
          <w:b/>
        </w:rPr>
        <w:t xml:space="preserve">Boundedness has an aesthetic and analytic appeal, because by creating a finite universe it allows for the total exhaustion of a topic </w:t>
      </w:r>
      <w:proofErr w:type="gramStart"/>
      <w:r>
        <w:rPr>
          <w:b/>
        </w:rPr>
        <w:t>in the course of</w:t>
      </w:r>
      <w:proofErr w:type="gramEnd"/>
      <w:r>
        <w:rPr>
          <w:b/>
        </w:rPr>
        <w:t xml:space="preserve"> analysis and makes for ease of comparison</w:t>
      </w:r>
      <w:r>
        <w:t xml:space="preserve">. It is this intellectual appeal that transforms what are often really gradients, clines, areas of intergradation or zonation into discontinuous or bounded units. [49: </w:t>
      </w:r>
    </w:p>
    <w:p w14:paraId="77CD6488" w14:textId="77777777" w:rsidR="00076776" w:rsidRDefault="00076776">
      <w:pPr>
        <w:ind w:left="720"/>
      </w:pPr>
    </w:p>
    <w:p w14:paraId="1D96AD85" w14:textId="77777777" w:rsidR="00076776" w:rsidRDefault="00000000">
      <w:pPr>
        <w:ind w:left="720"/>
      </w:pPr>
      <w:r>
        <w:t xml:space="preserve">There is much truth in what Peterson says, but a boundary that is </w:t>
      </w:r>
      <w:r>
        <w:rPr>
          <w:b/>
        </w:rPr>
        <w:t>not a barrier is not necessarily imperceptible. It may be a place of communication.</w:t>
      </w:r>
    </w:p>
    <w:p w14:paraId="388B8163" w14:textId="77777777" w:rsidR="00076776" w:rsidRDefault="00076776">
      <w:pPr>
        <w:rPr>
          <w:b/>
        </w:rPr>
      </w:pPr>
    </w:p>
    <w:p w14:paraId="5AEF8409" w14:textId="77777777" w:rsidR="00076776" w:rsidRDefault="00000000">
      <w:r>
        <w:t xml:space="preserve">Carter picks up on “boundaries” again on 165: </w:t>
      </w:r>
    </w:p>
    <w:p w14:paraId="31A93BA4" w14:textId="77777777" w:rsidR="00076776" w:rsidRDefault="00076776">
      <w:pPr>
        <w:rPr>
          <w:b/>
        </w:rPr>
      </w:pPr>
    </w:p>
    <w:p w14:paraId="4461CB69" w14:textId="77777777" w:rsidR="00076776" w:rsidRDefault="00000000">
      <w:pPr>
        <w:ind w:left="720"/>
      </w:pPr>
      <w:r>
        <w:t xml:space="preserve">Rather than regard the track as a </w:t>
      </w:r>
      <w:proofErr w:type="gramStart"/>
      <w:r>
        <w:t>neutral boundary bordering territories</w:t>
      </w:r>
      <w:proofErr w:type="gramEnd"/>
      <w:r>
        <w:t xml:space="preserve">, it might make more sense to see it as a corridor of legitimate communication, a place of dialogue, where differences could be negotiated. Boundaries may themselves have been significant narratives. The track itself, replete with mythic as well as human meaning, may have been a form of communication. In this context, there is a certain poignancy in the idea of the white pioneer ignoring the route itself and casting his eyes instead, left and right, towards the kind of space that spoke to </w:t>
      </w:r>
      <w:r>
        <w:rPr>
          <w:i/>
        </w:rPr>
        <w:t>him</w:t>
      </w:r>
      <w:r>
        <w:t xml:space="preserve">. / Against this background, </w:t>
      </w:r>
      <w:r>
        <w:rPr>
          <w:b/>
        </w:rPr>
        <w:t>white invasion was a form of spatial writing that erased the earlier meaning</w:t>
      </w:r>
      <w:r>
        <w:t>. Settlement then became a question of giving back to a desolated, because depopulated, land a lost significance.</w:t>
      </w:r>
    </w:p>
    <w:p w14:paraId="76C543E6" w14:textId="77777777" w:rsidR="00076776" w:rsidRDefault="00076776"/>
    <w:p w14:paraId="08CAB6B5" w14:textId="77777777" w:rsidR="00076776" w:rsidRDefault="00000000">
      <w:r>
        <w:t xml:space="preserve">167 And the discordance between hard boundaries and lived experience: </w:t>
      </w:r>
    </w:p>
    <w:p w14:paraId="63D003A9" w14:textId="77777777" w:rsidR="00076776" w:rsidRDefault="00076776"/>
    <w:p w14:paraId="3E29564B" w14:textId="77777777" w:rsidR="00076776" w:rsidRDefault="00000000">
      <w:pPr>
        <w:ind w:left="720"/>
      </w:pPr>
      <w:r>
        <w:t xml:space="preserve">The truth is that definitive boundaries of any kind had very little to do with the settlers’ experience of settling. … the map boundaries had very little to do with the boundaries that mattered to them in the field. The 1869 Land Act, for example, permitted selection before survey, requiring only that the boundaries of the selection be marked with ‘conspicuous posts or cairns of </w:t>
      </w:r>
      <w:proofErr w:type="gramStart"/>
      <w:r>
        <w:t>stones’</w:t>
      </w:r>
      <w:proofErr w:type="gramEnd"/>
      <w:r>
        <w:t xml:space="preserve">. [168] … The act of settling was not a matter of marking out </w:t>
      </w:r>
      <w:proofErr w:type="spellStart"/>
      <w:r>
        <w:t>pre- existing</w:t>
      </w:r>
      <w:proofErr w:type="spellEnd"/>
      <w:r>
        <w:t xml:space="preserve"> boundaries, but one of establishing symbolic enclosures. It depended on establishing a point of view with a back and front, a place with a human symmetry, a human focus of interest. </w:t>
      </w:r>
      <w:r>
        <w:rPr>
          <w:b/>
        </w:rPr>
        <w:t>Boundaries were the means of expressing this ambition, of articulating presence</w:t>
      </w:r>
      <w:r>
        <w:t>.</w:t>
      </w:r>
    </w:p>
    <w:p w14:paraId="52E0444D" w14:textId="77777777" w:rsidR="00076776" w:rsidRDefault="00076776">
      <w:pPr>
        <w:rPr>
          <w:b/>
        </w:rPr>
      </w:pPr>
    </w:p>
    <w:p w14:paraId="00A91BA3" w14:textId="77777777" w:rsidR="00076776" w:rsidRDefault="00000000">
      <w:pPr>
        <w:pStyle w:val="Heading4"/>
      </w:pPr>
      <w:r>
        <w:t>Chapter 10</w:t>
      </w:r>
    </w:p>
    <w:p w14:paraId="7295F1A3" w14:textId="77777777" w:rsidR="00076776" w:rsidRDefault="00000000">
      <w:r>
        <w:t xml:space="preserve">@Summ: how Australia’s early convicts subverted, and made ironic, “the validation of Enlightenment epistemology” (302). </w:t>
      </w:r>
    </w:p>
    <w:p w14:paraId="7D63E79C" w14:textId="77777777" w:rsidR="00076776" w:rsidRDefault="00076776"/>
    <w:p w14:paraId="7CB9388A" w14:textId="77777777" w:rsidR="00076776" w:rsidRDefault="00000000">
      <w:r>
        <w:rPr>
          <w:highlight w:val="green"/>
        </w:rPr>
        <w:t>294</w:t>
      </w:r>
      <w:r>
        <w:t xml:space="preserve"> @SpacePlace@ManDest@Ontol@Narr</w:t>
      </w:r>
    </w:p>
    <w:p w14:paraId="68BB037C" w14:textId="77777777" w:rsidR="00076776" w:rsidRDefault="00000000">
      <w:pPr>
        <w:ind w:left="720"/>
      </w:pPr>
      <w:r>
        <w:t xml:space="preserve">… spatial history does not simply restore men and women to themselves; it does not merely haul them from the stream of time and ask them to reflect on their own destinies, as if they were something apart from history. It suggests even our inviolable ‘personal space’ expresses a com- munity of historical interests. The viewpoints we take for </w:t>
      </w:r>
      <w:r>
        <w:lastRenderedPageBreak/>
        <w:t>granted as factual began in someone else’s fantasy: it is not so much that the travellers and settlers belong to our past, but that we belong to their future. But their fantasies, too, were historical.</w:t>
      </w:r>
    </w:p>
    <w:p w14:paraId="6981A7E7" w14:textId="77777777" w:rsidR="00076776" w:rsidRDefault="00076776"/>
    <w:p w14:paraId="2E132C6D" w14:textId="77777777" w:rsidR="00076776" w:rsidRDefault="00000000">
      <w:r>
        <w:t>299 @Reason@CogImp@SettPsych</w:t>
      </w:r>
    </w:p>
    <w:p w14:paraId="309C0D77" w14:textId="77777777" w:rsidR="00076776" w:rsidRDefault="00000000">
      <w:pPr>
        <w:ind w:left="720"/>
      </w:pPr>
      <w:r>
        <w:t xml:space="preserve">… the convicts involved in </w:t>
      </w:r>
      <w:r>
        <w:rPr>
          <w:b/>
        </w:rPr>
        <w:t>the China bid [to escape there]</w:t>
      </w:r>
      <w:r>
        <w:t xml:space="preserve"> were a group of people who, like the convict Daley, were incapable of sustained reasoning even where their own interests were concerned; a people given to sudden excitement, inexplicable changes of mood; as ignorant as gullible.</w:t>
      </w:r>
    </w:p>
    <w:p w14:paraId="6DBD6D16" w14:textId="77777777" w:rsidR="00076776" w:rsidRDefault="00076776"/>
    <w:p w14:paraId="170EE38D" w14:textId="77777777" w:rsidR="00076776" w:rsidRDefault="00000000">
      <w:r>
        <w:t>Are we building, here, to a settler description of Indigenous Peoples? By extension, is this irrationality assigned to convicts the same for Indigenous Peoples because of social hierarchies or that settlers thought of IPs as criminals, or criminals as closer to “nature,” and therefore irrationality, or animalism?</w:t>
      </w:r>
    </w:p>
    <w:p w14:paraId="313C43C2" w14:textId="77777777" w:rsidR="00076776" w:rsidRDefault="00076776"/>
    <w:p w14:paraId="70003168" w14:textId="77777777" w:rsidR="00076776" w:rsidRDefault="00000000">
      <w:r>
        <w:rPr>
          <w:highlight w:val="green"/>
        </w:rPr>
        <w:t>301-02 @</w:t>
      </w:r>
      <w:r>
        <w:t>Plunder@SettPsyche@ManDest@Reason</w:t>
      </w:r>
    </w:p>
    <w:p w14:paraId="52744B01" w14:textId="77777777" w:rsidR="00076776" w:rsidRDefault="00000000">
      <w:pPr>
        <w:ind w:left="720"/>
      </w:pPr>
      <w:r>
        <w:t>…</w:t>
      </w:r>
      <w:r>
        <w:rPr>
          <w:color w:val="000000"/>
          <w:sz w:val="22"/>
          <w:szCs w:val="22"/>
        </w:rPr>
        <w:t xml:space="preserve"> </w:t>
      </w:r>
      <w:r>
        <w:t xml:space="preserve">although the First Fleet chroniclers treated the convicts’ spatial inventions condescendingly, they accurately mirrored and articulated the spatial history of the white </w:t>
      </w:r>
      <w:proofErr w:type="gramStart"/>
      <w:r>
        <w:t>settlement as a whole</w:t>
      </w:r>
      <w:proofErr w:type="gramEnd"/>
      <w:r>
        <w:t>. … But they had another value as well: the empirical confirmation of their presence in the new country was an important strategic tool in getting a grasp on the country. The discovery of mines and quarries was bound up with the validation of Enlightenment epistemology. The convicts who announced their discovery flattered the discourse of power. Such valuable objects not only lent those in authority increased material power: more profoundly, they substantiated the proposition that ‘here’ was a repetition of ‘there’; that there was, in fact, no escape from a cultural regime that could command space quite as effectively as it regulated time. … It was not surprising that governor and officers paid attention to convict tales: they were what they wanted to hear. They were tales that appealed to geographical Reason.</w:t>
      </w:r>
    </w:p>
    <w:p w14:paraId="526E58AD" w14:textId="77777777" w:rsidR="00076776" w:rsidRDefault="00076776">
      <w:pPr>
        <w:ind w:left="720"/>
      </w:pPr>
    </w:p>
    <w:p w14:paraId="6E4CD397" w14:textId="77777777" w:rsidR="00076776" w:rsidRDefault="00000000">
      <w:r>
        <w:t xml:space="preserve">As above, more on the intersections of myth and history: </w:t>
      </w:r>
    </w:p>
    <w:p w14:paraId="145E3388" w14:textId="77777777" w:rsidR="00076776" w:rsidRDefault="00076776"/>
    <w:p w14:paraId="7CEB9CA1" w14:textId="77777777" w:rsidR="00076776" w:rsidRDefault="00000000">
      <w:pPr>
        <w:ind w:left="720"/>
      </w:pPr>
      <w:r>
        <w:t xml:space="preserve">[303] </w:t>
      </w:r>
      <w:r>
        <w:rPr>
          <w:b/>
        </w:rPr>
        <w:t>But this relegation of convict tales to the realm of myth was itself based on a mythic notion of history, a notion of history where space was passive, where events unfolded according to the logic of cause and effect.</w:t>
      </w:r>
      <w:r>
        <w:t xml:space="preserve"> The official attitude of </w:t>
      </w:r>
      <w:proofErr w:type="gramStart"/>
      <w:r>
        <w:t>more or less benign</w:t>
      </w:r>
      <w:proofErr w:type="gramEnd"/>
      <w:r>
        <w:t xml:space="preserve"> amusement towards convict inventions was, amongst other things, a rhetorical stratagem designed to discredit the possibility that space might have a historical role and be actively implicated in the emergence of a settlement. The passivity or emptiness was a sign of reason, a device for concealing those spatial uncertainties which no rational plan of action could wholly foresee or neutralize. … It symbolized nomadic transgression as against imperial appropriation.</w:t>
      </w:r>
    </w:p>
    <w:p w14:paraId="75E4BD7A" w14:textId="77777777" w:rsidR="00076776" w:rsidRDefault="00076776"/>
    <w:p w14:paraId="6345EE39" w14:textId="77777777" w:rsidR="00076776" w:rsidRDefault="00000000">
      <w:r>
        <w:t>304 @CGaze@Hist@ManDest@Reason</w:t>
      </w:r>
    </w:p>
    <w:p w14:paraId="0CD0F91F" w14:textId="77777777" w:rsidR="00076776" w:rsidRDefault="00000000">
      <w:pPr>
        <w:ind w:left="720"/>
      </w:pPr>
      <w:r>
        <w:t xml:space="preserve">But the convicts’ spatial history did not only reveal the real motives of the government’s appeal to axiomatic and incontrovertible Reason. It also revealed that, even as they appealed to it, the </w:t>
      </w:r>
      <w:proofErr w:type="gramStart"/>
      <w:r>
        <w:t>policy-makers</w:t>
      </w:r>
      <w:proofErr w:type="gramEnd"/>
      <w:r>
        <w:t xml:space="preserve"> at Sydney Cove did not rely on Reason. </w:t>
      </w:r>
      <w:r>
        <w:rPr>
          <w:b/>
        </w:rPr>
        <w:t xml:space="preserve">The space, as </w:t>
      </w:r>
      <w:r>
        <w:rPr>
          <w:b/>
        </w:rPr>
        <w:lastRenderedPageBreak/>
        <w:t>they well knew, had to be possessed and named: it was not like a stage. It only ‘presented’ itself to the intentional gaze, the roving eye.</w:t>
      </w:r>
    </w:p>
    <w:p w14:paraId="47F1C9C4" w14:textId="77777777" w:rsidR="00076776" w:rsidRDefault="00076776"/>
    <w:p w14:paraId="21D64430" w14:textId="77777777" w:rsidR="00076776" w:rsidRDefault="00000000">
      <w:r>
        <w:t>304-05 @CogImp@ManDest</w:t>
      </w:r>
    </w:p>
    <w:p w14:paraId="3402B310" w14:textId="77777777" w:rsidR="00076776" w:rsidRDefault="00000000">
      <w:r>
        <w:t xml:space="preserve">As noted in Terms section, above, Carter uses the term “imperial space,” as exemplified in this quote from Phillip on Australian history: </w:t>
      </w:r>
    </w:p>
    <w:p w14:paraId="669C4D8B" w14:textId="77777777" w:rsidR="00076776" w:rsidRDefault="00076776"/>
    <w:p w14:paraId="1557BA72" w14:textId="77777777" w:rsidR="00076776" w:rsidRDefault="00000000">
      <w:pPr>
        <w:ind w:left="1440"/>
      </w:pPr>
      <w:r>
        <w:t xml:space="preserve">There are few things more pleasing than the contemplation of order and useful arrangement, arising gradually out of tumult and confusion; and perhaps this satisfaction cannot </w:t>
      </w:r>
      <w:proofErr w:type="spellStart"/>
      <w:r>
        <w:t>any where</w:t>
      </w:r>
      <w:proofErr w:type="spellEnd"/>
      <w:r>
        <w:t xml:space="preserve"> be more fully enjoyed than where a settlement of civilized people is fixing itself upon a newly discovered or savage coast. … </w:t>
      </w:r>
    </w:p>
    <w:p w14:paraId="61985EEF" w14:textId="77777777" w:rsidR="00076776" w:rsidRDefault="00076776"/>
    <w:p w14:paraId="2D7EE785" w14:textId="77777777" w:rsidR="00076776" w:rsidRDefault="00000000">
      <w:pPr>
        <w:ind w:left="720"/>
      </w:pPr>
      <w:r>
        <w:t>It was precisely this model of order emerging inexorably out of chaos, according to an inner historical logic, which the testimony of the convicts revealed as mythic, as a rhetorical rationalization designed to neutralize the reality of a space that was turbulent, unpredictable, rebellious.</w:t>
      </w:r>
    </w:p>
    <w:p w14:paraId="788493FB" w14:textId="77777777" w:rsidR="00076776" w:rsidRDefault="00076776"/>
    <w:p w14:paraId="112E0D01" w14:textId="77777777" w:rsidR="00076776" w:rsidRDefault="00000000">
      <w:r>
        <w:rPr>
          <w:highlight w:val="green"/>
        </w:rPr>
        <w:t>313</w:t>
      </w:r>
      <w:r>
        <w:t xml:space="preserve"> @</w:t>
      </w:r>
      <w:proofErr w:type="gramStart"/>
      <w:r>
        <w:t>Motherlode!@</w:t>
      </w:r>
      <w:proofErr w:type="gramEnd"/>
      <w:r>
        <w:t>Reason@Map@Topo@Summ@Rhet</w:t>
      </w:r>
    </w:p>
    <w:p w14:paraId="2EB5ACC4" w14:textId="77777777" w:rsidR="00076776" w:rsidRDefault="00000000">
      <w:r>
        <w:t xml:space="preserve">Great invective on the </w:t>
      </w:r>
      <w:r>
        <w:rPr>
          <w:b/>
        </w:rPr>
        <w:t>rhetorical roots of reason</w:t>
      </w:r>
      <w:r>
        <w:t xml:space="preserve">: </w:t>
      </w:r>
    </w:p>
    <w:p w14:paraId="0AB1A709" w14:textId="77777777" w:rsidR="00076776" w:rsidRDefault="00076776"/>
    <w:p w14:paraId="5C61B0DA" w14:textId="77777777" w:rsidR="00076776" w:rsidRDefault="00000000">
      <w:pPr>
        <w:ind w:left="720"/>
      </w:pPr>
      <w:r>
        <w:t>In dealing with authority, the convicts revealed its rhetorical foundations: maps and memos were instruments of strategy, not incontestable facts. Place names were figures of speech, places where one could speak. Imagining them lent one authority. But this, after all, was how reason worked, by persuasion rather than demonstration. For, before there were facts, there had to be the fiction of facts. There had to be agreement that space was not historical, that language was not metaphorical. It is in demonstrating the falseness of these premises that the convicts not only subverted Enlightenment reason but held up an ironic mirror to it. In the process, their spatial fantasies revealed the possibility that, despite official plans, Botany Bay was not settled before it was reached and not even fixed finally once it was surveyed. The road to Botany Bay represented a history still to be written.</w:t>
      </w:r>
    </w:p>
    <w:p w14:paraId="2ACA77F5" w14:textId="77777777" w:rsidR="00076776" w:rsidRDefault="00076776"/>
    <w:p w14:paraId="3468C6E6" w14:textId="77777777" w:rsidR="00076776" w:rsidRDefault="00000000">
      <w:r>
        <w:t>318 @Reason@CogImp@Ling</w:t>
      </w:r>
    </w:p>
    <w:p w14:paraId="32A337AD" w14:textId="77777777" w:rsidR="00076776" w:rsidRDefault="00076776"/>
    <w:p w14:paraId="3A9BC4AF" w14:textId="77777777" w:rsidR="00076776" w:rsidRDefault="00000000">
      <w:pPr>
        <w:ind w:left="720"/>
      </w:pPr>
      <w:r>
        <w:t xml:space="preserve">Here we see the Enlightenment project of reducing the world to uniformity, replacing local difference with universal intelligibility. But, underlying the superficial benevolence of this </w:t>
      </w:r>
      <w:r>
        <w:rPr>
          <w:b/>
        </w:rPr>
        <w:t>linguistic imperialism</w:t>
      </w:r>
      <w:r>
        <w:t>, is something approaching panic, the chaos of unintelligibility. The path to reformation, like the road to Botany Bay, leads to a prison. The difference is that it involves no transfer of power.</w:t>
      </w:r>
    </w:p>
    <w:p w14:paraId="04D54971" w14:textId="77777777" w:rsidR="00076776" w:rsidRDefault="00076776"/>
    <w:p w14:paraId="056F1BB1" w14:textId="77777777" w:rsidR="00076776" w:rsidRDefault="00000000">
      <w:r>
        <w:t>319 @Rhet@Border</w:t>
      </w:r>
    </w:p>
    <w:p w14:paraId="12860C27" w14:textId="77777777" w:rsidR="00076776" w:rsidRDefault="00000000">
      <w:pPr>
        <w:ind w:left="720"/>
      </w:pPr>
      <w:r>
        <w:t xml:space="preserve">For to call the road to Botany Bay a ‘road’ may have been a rhetorical means of suggesting the deceptiveness of appearances, but it also </w:t>
      </w:r>
      <w:proofErr w:type="spellStart"/>
      <w:r>
        <w:t>recog</w:t>
      </w:r>
      <w:proofErr w:type="spellEnd"/>
      <w:r>
        <w:t xml:space="preserve">- </w:t>
      </w:r>
      <w:proofErr w:type="spellStart"/>
      <w:r>
        <w:t>nized</w:t>
      </w:r>
      <w:proofErr w:type="spellEnd"/>
      <w:r>
        <w:t xml:space="preserve"> the wood as the place of masked schemes, the place of highwaymen, unseen violence and strange translations (from white to black, from confinement to freedom), an environment predicated on the formalized and continuous transgression of fixed boundaries.</w:t>
      </w:r>
    </w:p>
    <w:p w14:paraId="3B8CE625" w14:textId="77777777" w:rsidR="00076776" w:rsidRDefault="00076776"/>
    <w:p w14:paraId="2765F934" w14:textId="77777777" w:rsidR="00076776" w:rsidRDefault="00000000">
      <w:pPr>
        <w:pStyle w:val="Heading2"/>
      </w:pPr>
      <w:r>
        <w:t>Secondary quotes</w:t>
      </w:r>
    </w:p>
    <w:p w14:paraId="0E15F89D" w14:textId="77777777" w:rsidR="00076776" w:rsidRDefault="00000000">
      <w:r>
        <w:rPr>
          <w:b/>
        </w:rPr>
        <w:t xml:space="preserve">[INTRODUCTION] </w:t>
      </w:r>
      <w:r>
        <w:t>XIV @</w:t>
      </w:r>
      <w:proofErr w:type="gramStart"/>
      <w:r>
        <w:t>Link:</w:t>
      </w:r>
      <w:r>
        <w:rPr>
          <w:highlight w:val="magenta"/>
        </w:rPr>
        <w:t>White</w:t>
      </w:r>
      <w:proofErr w:type="gramEnd"/>
      <w:r>
        <w:t xml:space="preserve">. Read a lot like White’s ideas on narrativity: “It is not the historian who stages events, weaving them together to form a plot, but History itself…. Clark’s description does not simply reproduce the events: </w:t>
      </w:r>
      <w:r>
        <w:rPr>
          <w:b/>
        </w:rPr>
        <w:t>it narrates them, clarifies and orders them</w:t>
      </w:r>
      <w:r>
        <w:t xml:space="preserve">….” / XXI “A new genre is born, </w:t>
      </w:r>
      <w:r>
        <w:rPr>
          <w:b/>
        </w:rPr>
        <w:t>the explorer biography</w:t>
      </w:r>
      <w:r>
        <w:t xml:space="preserve">, where our own thoughts and feelings take an epic turn. Treating the historical space as ‘natural’, passive, objectively ‘there’, has the effect of draining what is most characteristic …. </w:t>
      </w:r>
      <w:r>
        <w:rPr>
          <w:b/>
        </w:rPr>
        <w:t xml:space="preserve">The uniquely spatial experience is replaced by a ritual of repetitions. Putative journeys are effaced by </w:t>
      </w:r>
      <w:r>
        <w:rPr>
          <w:b/>
          <w:highlight w:val="yellow"/>
        </w:rPr>
        <w:t>a cult of places</w:t>
      </w:r>
      <w:r>
        <w:t xml:space="preserve">.” / “… mythic imaginings…” / XXII “It recognizes that the spatiality of historical experience evaporates before the imperial gaze …” / XXIII @Lang: “Such spatial history - history that discovers and explores the lacuna left by imperial history - begins and ends in language.” / On the lineage of “discoveries” of Cape Inscription: “Late in 1616, Dirck Hartog of Amsterdam and his ship, the </w:t>
      </w:r>
      <w:r>
        <w:rPr>
          <w:i/>
        </w:rPr>
        <w:t xml:space="preserve">Eendracht, </w:t>
      </w:r>
      <w:r>
        <w:t xml:space="preserve">were blown on to the north-west coast of Australia. … 1697, another Dutchman, Vlamingh, also blown off-course, found Hartog’s memorial. … 1699, the English seaman William Dampier also visited this coast. / XXIV “… 1801, one Captain Emmanuel Hamelin discovered a pewter plate ‘of about six inches in diameter on which was roughly </w:t>
      </w:r>
      <w:proofErr w:type="spellStart"/>
      <w:r>
        <w:t>engraven</w:t>
      </w:r>
      <w:proofErr w:type="spellEnd"/>
      <w:r>
        <w:t xml:space="preserve"> two Dutch inscriptions . . .</w:t>
      </w:r>
      <w:proofErr w:type="gramStart"/>
      <w:r>
        <w:t>’, and</w:t>
      </w:r>
      <w:proofErr w:type="gramEnd"/>
      <w:r>
        <w:t xml:space="preserve"> named the place </w:t>
      </w:r>
      <w:hyperlink r:id="rId25">
        <w:r w:rsidR="00076776">
          <w:t>Cape Inscription</w:t>
        </w:r>
      </w:hyperlink>
      <w:r>
        <w:t>. / [</w:t>
      </w:r>
      <w:r>
        <w:rPr>
          <w:b/>
        </w:rPr>
        <w:t>CHAPTER 1</w:t>
      </w:r>
      <w:r>
        <w:t>] 4 An etymological account vs. semantic classification / 7 @</w:t>
      </w:r>
      <w:proofErr w:type="gramStart"/>
      <w:r>
        <w:t>Link:</w:t>
      </w:r>
      <w:r>
        <w:rPr>
          <w:highlight w:val="magenta"/>
        </w:rPr>
        <w:t>Freud</w:t>
      </w:r>
      <w:proofErr w:type="gramEnd"/>
      <w:r>
        <w:t xml:space="preserve">: “The simple truth is that punning names like ‘Eagle Island’ are an instance of what … Freud called overdetermination. … names that bore more than one hidden allusion.” / 8 @SpacePlace: “… exploration </w:t>
      </w:r>
      <w:r>
        <w:rPr>
          <w:b/>
        </w:rPr>
        <w:t xml:space="preserve">was a </w:t>
      </w:r>
      <w:r>
        <w:rPr>
          <w:b/>
          <w:i/>
        </w:rPr>
        <w:t xml:space="preserve">spatial </w:t>
      </w:r>
      <w:r>
        <w:rPr>
          <w:b/>
        </w:rPr>
        <w:t>discourse</w:t>
      </w:r>
      <w:r>
        <w:t>. … Cook’s names were neither meaningless nor arbitrary: they did have a genealogy, but it was a genealogy of particulars, a horizontal disposition to mark things where they occurred locally, rather than to organize them hierarchically or thematically.” / 10 Historian discourse-analysis starts with this: “</w:t>
      </w:r>
      <w:r>
        <w:rPr>
          <w:b/>
        </w:rPr>
        <w:t>Three historical writers in particular have addressed themselves to these questions</w:t>
      </w:r>
      <w:r>
        <w:t xml:space="preserve">: the nineteenth-century self-made historian, archivist and student of Aborigines James </w:t>
      </w:r>
      <w:r>
        <w:rPr>
          <w:highlight w:val="magenta"/>
        </w:rPr>
        <w:t>Bonwick</w:t>
      </w:r>
      <w:r>
        <w:t xml:space="preserve">; Frederick </w:t>
      </w:r>
      <w:r>
        <w:rPr>
          <w:highlight w:val="magenta"/>
        </w:rPr>
        <w:t>Watson</w:t>
      </w:r>
      <w:r>
        <w:t xml:space="preserve">, responsible among other things for carrying on </w:t>
      </w:r>
      <w:proofErr w:type="spellStart"/>
      <w:r>
        <w:t>Bonwick’s</w:t>
      </w:r>
      <w:proofErr w:type="spellEnd"/>
      <w:r>
        <w:t xml:space="preserve"> pioneering work in compiling the Historical Records of Australia; and, of course, the magisterial </w:t>
      </w:r>
      <w:r>
        <w:rPr>
          <w:highlight w:val="magenta"/>
        </w:rPr>
        <w:t>Beaglehole</w:t>
      </w:r>
      <w:r>
        <w:t>.” / 12 @Hist@Acad. And this is the historian’s game: “… a place name like Botany Bay does not exist as a particularity, with a particular meaning in the context of the journal. … The corollary of this assumption is obvious</w:t>
      </w:r>
      <w:r>
        <w:rPr>
          <w:b/>
        </w:rPr>
        <w:t>: the historian must set himself up as an interpreter, revealing what is superficially arbitrary as a fragment of a repressed imperial discourse</w:t>
      </w:r>
      <w:r>
        <w:t xml:space="preserve">.” / “…historical destiny… this vision of emergent nationhood…” / 18 @Topo: </w:t>
      </w:r>
      <w:r>
        <w:rPr>
          <w:b/>
        </w:rPr>
        <w:t>Botany names versus place names</w:t>
      </w:r>
      <w:r>
        <w:t xml:space="preserve">: “How, for instance, does exploration differ from that other great eighteenth-century naming discipline, </w:t>
      </w:r>
      <w:r>
        <w:rPr>
          <w:b/>
        </w:rPr>
        <w:t>botany</w:t>
      </w:r>
      <w:r>
        <w:t xml:space="preserve">? In answering this question, the conjunction of Cook and Banks on the </w:t>
      </w:r>
      <w:r>
        <w:rPr>
          <w:i/>
        </w:rPr>
        <w:t>Endeavour</w:t>
      </w:r>
      <w:r>
        <w:t xml:space="preserve"> voyage is a particularly fortuitous one. … </w:t>
      </w:r>
      <w:r>
        <w:rPr>
          <w:b/>
        </w:rPr>
        <w:t>the Enlightenment project of universal knowledge</w:t>
      </w:r>
      <w:r>
        <w:t xml:space="preserve"> and, on the other, to the trenchant criticism of its empirical assumptions mounted by David </w:t>
      </w:r>
      <w:r>
        <w:rPr>
          <w:highlight w:val="magenta"/>
        </w:rPr>
        <w:t>Hume</w:t>
      </w:r>
      <w:r>
        <w:t xml:space="preserve">. … For </w:t>
      </w:r>
      <w:r>
        <w:rPr>
          <w:b/>
        </w:rPr>
        <w:t>where Banks was preoccupied with the typical, Cook was concerned with the singular; where Banks tended to generalize, Cook tended to specify. And this, indeed, was the difference between botany and geography as they were practised in the eighteenth century</w:t>
      </w:r>
      <w:r>
        <w:t xml:space="preserve">. / 19 Carl Linnaeus / 21 @SpacePlace@CogImp@Reason: “… implication of Banks’s general outlook and the Enlightenment philosophy of knowledge that it represented was that the spatiality of experience could be ignored.” / 29 “Erasmus Darwin later called ‘intuitive analogy’; and, since he employs it in the absence of a proper name, we could say he employs the commonplace rhetorical trope of catachresis. / @Lang@Reason “Banks’s notion of a genuinely descriptive language </w:t>
      </w:r>
      <w:r>
        <w:lastRenderedPageBreak/>
        <w:t xml:space="preserve">spontaneously available to the empirical mind goes back to </w:t>
      </w:r>
      <w:r>
        <w:rPr>
          <w:highlight w:val="magenta"/>
        </w:rPr>
        <w:t>John Locke</w:t>
      </w:r>
      <w:r>
        <w:t xml:space="preserve">, who envisages </w:t>
      </w:r>
      <w:r>
        <w:rPr>
          <w:b/>
        </w:rPr>
        <w:t>scientific language as a language free of metaphorical distortion</w:t>
      </w:r>
      <w:r>
        <w:t>” /</w:t>
      </w:r>
      <w:r>
        <w:rPr>
          <w:b/>
        </w:rPr>
        <w:t xml:space="preserve"> [CHAPTER 5] </w:t>
      </w:r>
      <w:r>
        <w:t xml:space="preserve">p 137 onward, Carter uses “case studies” in colonial naming practices. / 140 Journals as “a single epistemological mode” for both “settler and explorer” / 141 On ships as “… houses on the move… the convenience of home with the advantage of enforced leisure.” / 143 @Para of belonging and home: “…the true subject of this poem is not nostalgia or escape but the rhetorical reinforcement of ‘home’, a place always made precious by thoughts of elsewhere.” / 144 @Phenom </w:t>
      </w:r>
      <w:r>
        <w:rPr>
          <w:highlight w:val="magenta"/>
        </w:rPr>
        <w:t>James Mill</w:t>
      </w:r>
      <w:r>
        <w:t xml:space="preserve"> and the linear experience: “… a utilitarian philosopher prepared to entertain a policy of rational colonization </w:t>
      </w:r>
      <w:proofErr w:type="gramStart"/>
      <w:r>
        <w:t>on the basis of</w:t>
      </w:r>
      <w:proofErr w:type="gramEnd"/>
      <w:r>
        <w:t xml:space="preserve"> an aggregate gain in human happiness, fully anticipated the argument advanced here. … experiences impress upon the mind ideas, not only of themselves, but of their order. / 149 @GapAn: “Relatively few contemporary records exist of that transitional moment where the home came into being. Where records of the first days of settling can be found, they are invariably written after the event.” / 151 @Arg “Rather than search for ‘scientific’ accounts in the colonial literature, we need to acknowledge those documents which evoke the act of settling metaphorically, obliquely. For how, except by rhetorical means, can a place be described before there is a place to write?” / 156 “The Australian picnic…” / 159 “…some historians have questioned the value of the frontier as a historical term.” / 160 @NeoCol@Hist: “Bringing together a host of scattered oral and written data, in a manner wholly foreign to an oral culture, ordering them under the aegis of a culture-specific discourse known as history, does not Reynolds’s book merely continue by other means two hundred years of white history, a history founded on the successful appropriation (and suppression) of neighbouring cultures? / 161 “</w:t>
      </w:r>
      <w:r>
        <w:rPr>
          <w:b/>
        </w:rPr>
        <w:t>What, in fact, does it mean to speak of ‘aboriginal history</w:t>
      </w:r>
      <w:r>
        <w:t>’?” / [</w:t>
      </w:r>
      <w:r>
        <w:rPr>
          <w:b/>
        </w:rPr>
        <w:t>CHAPTER 10</w:t>
      </w:r>
      <w:r>
        <w:t>] 294 “‘Bullshit,’ they say in response to any kind of intellectualizing - as if ideas were not everywhere: and indeed, in Australia, you cannot get away from theories, from lives relived as endless stories.” / 295 “</w:t>
      </w:r>
      <w:hyperlink r:id="rId26">
        <w:r w:rsidR="00076776">
          <w:rPr>
            <w:color w:val="0563C1"/>
            <w:u w:val="single"/>
          </w:rPr>
          <w:t>First Fleet</w:t>
        </w:r>
      </w:hyperlink>
      <w:r>
        <w:t xml:space="preserve"> chroniclers— Phillip, Tench, Collins, Hunter and White” / 296 convict James Daley and the fake gold mine… / 300 “In March 1791, eleven convicts led by William Bryant seized a government cutter and made their escape by sea.” / 302 </w:t>
      </w:r>
      <w:r>
        <w:rPr>
          <w:highlight w:val="magenta"/>
        </w:rPr>
        <w:t>Voltaire</w:t>
      </w:r>
      <w:r>
        <w:t xml:space="preserve"> / 305 </w:t>
      </w:r>
      <w:r>
        <w:rPr>
          <w:b/>
        </w:rPr>
        <w:t>On the evacuation of Botany Bay</w:t>
      </w:r>
      <w:r>
        <w:t>: “… late on 23 January 1788 (only five days after his arrival), Phillip returned from a reconnaissance of Port Jackson and ordered the evacuation of Botany Bay … The unexpected appearance of the French explorer La Perouse, when the First Fleet was on the point of setting sail, delayed departure a further couple of days. Even so, by the 27th the new camp was established at Sydney Cove, while the French ships remained in Botany Bay until mid-March. / 306 Bentham’s panopticon: “Bentham’s device for keeping all prisoners constantly in view … Bentham suggested that, among other advantages, the arrangement of inmates around a central, all-seeing eye offered a mode of imprisonment considerably more rational than that of sending convicts to Botany Bay.” / 308 @Hist On what the “road” to Botany Bay is: “</w:t>
      </w:r>
      <w:r>
        <w:rPr>
          <w:b/>
        </w:rPr>
        <w:t>What was ‘the road to Botany Bay’?</w:t>
      </w:r>
      <w:r>
        <w:t xml:space="preserve"> Tench clearly refers to the overland route which the convicts took </w:t>
      </w:r>
      <w:proofErr w:type="gramStart"/>
      <w:r>
        <w:t>in an attempt to</w:t>
      </w:r>
      <w:proofErr w:type="gramEnd"/>
      <w:r>
        <w:t xml:space="preserve"> escape to the French ships….”</w:t>
      </w:r>
      <w:r>
        <w:rPr>
          <w:color w:val="000000"/>
          <w:sz w:val="22"/>
          <w:szCs w:val="22"/>
        </w:rPr>
        <w:t xml:space="preserve"> And on </w:t>
      </w:r>
      <w:r>
        <w:t xml:space="preserve">310: “the road to Botany Bay was a fantasy about the other place. It was the act of imagining oneself there which brought the other place into being as the occasion of a historical event. In this sense, from the point of view of spatial history, </w:t>
      </w:r>
      <w:r>
        <w:rPr>
          <w:b/>
        </w:rPr>
        <w:t>the road is richly metaphorical</w:t>
      </w:r>
      <w:r>
        <w:t xml:space="preserve">.” / 311: On the settlement of Norfolk Island, and islands, generally. See Notes for more. / 314: “Explorers, unlike legislators, welcomed these </w:t>
      </w:r>
      <w:r>
        <w:rPr>
          <w:b/>
        </w:rPr>
        <w:t>imaginary places as hypotheses necessary to rational travelling</w:t>
      </w:r>
      <w:r>
        <w:t xml:space="preserve">. Fiction or fact, they lent the traveller a direction. The confirmation of these tales was less important than the ideal other place they offered as a goal. The mythic and the marvellous were essential to travel…” / </w:t>
      </w:r>
    </w:p>
    <w:p w14:paraId="7BEF65C4" w14:textId="77777777" w:rsidR="00076776" w:rsidRDefault="00000000">
      <w:r>
        <w:lastRenderedPageBreak/>
        <w:t xml:space="preserve"> </w:t>
      </w:r>
    </w:p>
    <w:p w14:paraId="2A1FFC07" w14:textId="77777777" w:rsidR="00076776" w:rsidRDefault="00000000">
      <w:pPr>
        <w:pStyle w:val="Heading2"/>
      </w:pPr>
      <w:r>
        <w:t>Notes</w:t>
      </w:r>
    </w:p>
    <w:p w14:paraId="28145AB5" w14:textId="77777777" w:rsidR="00076776" w:rsidRDefault="00000000">
      <w:r>
        <w:t xml:space="preserve">This chapter could be useful to make a case for differences between “discovery” and “exploration” in Vancouver’s placenames on the coast: did he copy Cook’s approach? </w:t>
      </w:r>
    </w:p>
    <w:p w14:paraId="2FE89424" w14:textId="77777777" w:rsidR="00076776" w:rsidRDefault="00076776"/>
    <w:p w14:paraId="08880060" w14:textId="77777777" w:rsidR="00076776" w:rsidRDefault="00000000">
      <w:r>
        <w:rPr>
          <w:i/>
        </w:rPr>
        <w:t>LA Times</w:t>
      </w:r>
      <w:r>
        <w:t xml:space="preserve"> review from 1988: https://www.latimes.com/archives/la-xpm-1988-04-14-vw-1647-story.html</w:t>
      </w:r>
    </w:p>
    <w:p w14:paraId="64830770" w14:textId="77777777" w:rsidR="00076776" w:rsidRDefault="00076776"/>
    <w:p w14:paraId="11C1461B" w14:textId="77777777" w:rsidR="00076776" w:rsidRDefault="00000000">
      <w:r>
        <w:t xml:space="preserve">Paul Carter interview from 1988: </w:t>
      </w:r>
      <w:hyperlink r:id="rId27">
        <w:r w:rsidR="00076776">
          <w:rPr>
            <w:color w:val="0563C1"/>
            <w:u w:val="single"/>
          </w:rPr>
          <w:t>https://www.tandfonline.com/doi/pdf/10.1080/09502368908582057</w:t>
        </w:r>
      </w:hyperlink>
    </w:p>
    <w:p w14:paraId="3EAB3B4C" w14:textId="77777777" w:rsidR="00076776" w:rsidRDefault="00000000">
      <w:r>
        <w:tab/>
        <w:t xml:space="preserve">Useful, as he goes into the definition of “spatial history.” </w:t>
      </w:r>
    </w:p>
    <w:p w14:paraId="4A0EA302" w14:textId="77777777" w:rsidR="00076776" w:rsidRDefault="00076776"/>
    <w:p w14:paraId="2E9059BF" w14:textId="77777777" w:rsidR="00076776" w:rsidRDefault="00000000">
      <w:r>
        <w:t xml:space="preserve">311 @Diss </w:t>
      </w:r>
    </w:p>
    <w:p w14:paraId="72CFBBF1" w14:textId="77777777" w:rsidR="00076776" w:rsidRDefault="00000000">
      <w:r>
        <w:t xml:space="preserve">Carter looks at islands as “possessions,” perhaps we could say dioramas of sustainable colonialism, as the borders were obvious and relatively impenetrable. How could we see evidence of this in the </w:t>
      </w:r>
      <w:r>
        <w:rPr>
          <w:i/>
        </w:rPr>
        <w:t>Despatches</w:t>
      </w:r>
      <w:r>
        <w:t xml:space="preserve">? Is it an accident that the Haida were able to thwart insurgence multiple times, and how much of this had to do with geography, in that islands of that scale are more defensible over time? </w:t>
      </w:r>
    </w:p>
    <w:p w14:paraId="2669F84D" w14:textId="77777777" w:rsidR="00076776" w:rsidRDefault="00076776"/>
    <w:p w14:paraId="4A675D17" w14:textId="77777777" w:rsidR="00076776" w:rsidRDefault="00000000">
      <w:pPr>
        <w:ind w:left="720"/>
      </w:pPr>
      <w:r>
        <w:t>The speed and confidence with which he could contemplate founding a satellite colony was, of course, another testimony to the thoroughness of Cook’s voyaging and to the ease with which islands, unlike coastlines, could be possessed. And, in theory, at least, Norfolk Island was the ideal prison: unlike the mainland, it seemed inconceivable that it should harbour the stuff of revolutionary myth. No rivers could be expected; there were no promising interiors. Natural and symbolic boundary coincided.</w:t>
      </w:r>
    </w:p>
    <w:p w14:paraId="7A6B2141" w14:textId="77777777" w:rsidR="00076776" w:rsidRDefault="00000000">
      <w:pPr>
        <w:pStyle w:val="Heading1"/>
      </w:pPr>
      <w:bookmarkStart w:id="29" w:name="_heading=h.1pxezwc" w:colFirst="0" w:colLast="0"/>
      <w:bookmarkEnd w:id="29"/>
      <w:r>
        <w:t>(1989) Harley, “Deconstructing the Map”</w:t>
      </w:r>
    </w:p>
    <w:p w14:paraId="7AE7BC03" w14:textId="77777777" w:rsidR="00076776" w:rsidRDefault="00076776"/>
    <w:p w14:paraId="2724B39B" w14:textId="77777777" w:rsidR="00076776" w:rsidRDefault="00000000">
      <w:pPr>
        <w:pStyle w:val="Heading2"/>
      </w:pPr>
      <w:r>
        <w:t>Abstract</w:t>
      </w:r>
    </w:p>
    <w:p w14:paraId="460B062B" w14:textId="77777777" w:rsidR="00076776" w:rsidRDefault="00000000">
      <w:r>
        <w:t xml:space="preserve">Touchstone cartographic theory piece that uses postmodern deconstructionism to show maps as representations of power. </w:t>
      </w:r>
    </w:p>
    <w:p w14:paraId="2FF876B0" w14:textId="77777777" w:rsidR="00076776" w:rsidRDefault="00076776"/>
    <w:p w14:paraId="69EE1A52" w14:textId="77777777" w:rsidR="00076776" w:rsidRDefault="00000000">
      <w:pPr>
        <w:pStyle w:val="Heading2"/>
      </w:pPr>
      <w:r>
        <w:t>Key words</w:t>
      </w:r>
    </w:p>
    <w:p w14:paraId="6E74BA91" w14:textId="77777777" w:rsidR="00076776" w:rsidRDefault="00000000">
      <w:r>
        <w:t>Foucault, Derrida, deconstructionism, postmodernism, cartography, toponyms, maps, textuality, discourse analysis</w:t>
      </w:r>
    </w:p>
    <w:p w14:paraId="0F263368" w14:textId="77777777" w:rsidR="00076776" w:rsidRDefault="00076776"/>
    <w:p w14:paraId="478ED175" w14:textId="77777777" w:rsidR="00076776" w:rsidRDefault="00000000">
      <w:pPr>
        <w:pStyle w:val="Heading2"/>
      </w:pPr>
      <w:r>
        <w:t>Essential quote</w:t>
      </w:r>
    </w:p>
    <w:p w14:paraId="4D064394" w14:textId="77777777" w:rsidR="00076776" w:rsidRDefault="00000000">
      <w:r>
        <w:t xml:space="preserve">11: “… there is no description without performance.” </w:t>
      </w:r>
    </w:p>
    <w:p w14:paraId="045B68F3" w14:textId="77777777" w:rsidR="00076776" w:rsidRDefault="00000000">
      <w:r>
        <w:t xml:space="preserve">14: Once embedded in the published text the lines on the map acquire an authority that may be hard to dislodge. Maps are authoritarian images. Without our being aware of it maps can reinforce and legitimate the status quo. Sometimes agents of change, they can equally become conservative documents. But in either case </w:t>
      </w:r>
      <w:r>
        <w:rPr>
          <w:b/>
        </w:rPr>
        <w:t>the map is never neutral.</w:t>
      </w:r>
    </w:p>
    <w:p w14:paraId="41D5E022" w14:textId="77777777" w:rsidR="00076776" w:rsidRDefault="00076776"/>
    <w:p w14:paraId="4504587C" w14:textId="77777777" w:rsidR="00076776" w:rsidRDefault="00000000">
      <w:pPr>
        <w:pStyle w:val="Heading2"/>
      </w:pPr>
      <w:r>
        <w:lastRenderedPageBreak/>
        <w:t>Terms</w:t>
      </w:r>
    </w:p>
    <w:p w14:paraId="52C3689C" w14:textId="77777777" w:rsidR="00076776" w:rsidRDefault="00000000">
      <w:r>
        <w:t xml:space="preserve">3: </w:t>
      </w:r>
      <w:r>
        <w:rPr>
          <w:b/>
        </w:rPr>
        <w:t>cartography</w:t>
      </w:r>
      <w:r>
        <w:t>: “a body of theoretical and practical knowledge that map-makers employ to construct maps as a distinct mode of visual representation.”</w:t>
      </w:r>
    </w:p>
    <w:p w14:paraId="2D91012A" w14:textId="77777777" w:rsidR="00076776" w:rsidRDefault="00000000">
      <w:r>
        <w:rPr>
          <w:highlight w:val="green"/>
        </w:rPr>
        <w:t>6</w:t>
      </w:r>
      <w:r>
        <w:t xml:space="preserve">: </w:t>
      </w:r>
      <w:r>
        <w:rPr>
          <w:b/>
        </w:rPr>
        <w:t>rule of ethnocentricity</w:t>
      </w:r>
      <w:r>
        <w:t xml:space="preserve">: “… to place their own territories at the center of their cosmographies or world maps.” </w:t>
      </w:r>
    </w:p>
    <w:p w14:paraId="2EE66F97" w14:textId="77777777" w:rsidR="00076776" w:rsidRDefault="00000000">
      <w:r>
        <w:t xml:space="preserve">6: </w:t>
      </w:r>
      <w:r>
        <w:rPr>
          <w:b/>
        </w:rPr>
        <w:t>subliminal geometry</w:t>
      </w:r>
      <w:r>
        <w:t xml:space="preserve">: [@WIAM@IKSG]…the non-language systems that make maps are also cultural projections: “… the scientific Renaissance in Europe gave modern cartography coordinate systems, Euclid, scale maps, and accurate measurement, but it also helped to confirm a new myth of Europe’s ideological centrality through projections such as those of Mercator.” </w:t>
      </w:r>
    </w:p>
    <w:p w14:paraId="5953CAB2" w14:textId="77777777" w:rsidR="00076776" w:rsidRDefault="00000000">
      <w:r>
        <w:t xml:space="preserve">6: </w:t>
      </w:r>
      <w:r>
        <w:rPr>
          <w:b/>
        </w:rPr>
        <w:t>rules of social order</w:t>
      </w:r>
      <w:r>
        <w:t xml:space="preserve">: “‘rules of the social order’ appear to insert themselves into the smaller codes and spaces of cartographic transcription. … its text is as much a commentary on the social structure of a particular nation or place as it is on its topography. … </w:t>
      </w:r>
      <w:r>
        <w:rPr>
          <w:b/>
        </w:rPr>
        <w:t>Why maps can be so convincing in this respect is that the rules of society and the rules of measurement are mutually reinforcing in the same image</w:t>
      </w:r>
      <w:r>
        <w:t>.”</w:t>
      </w:r>
    </w:p>
    <w:p w14:paraId="7E93FC81"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7: </w:t>
      </w:r>
      <w:r>
        <w:rPr>
          <w:b/>
        </w:rPr>
        <w:t>cartographic text</w:t>
      </w:r>
      <w:r>
        <w:t>: “To non-book texts such as musical compositions and architectural structures we can confidently add the graphic texts we call maps. It has been said that ‘what constitutes a text is not the presence of linguistic elements but the act of construction’ so that maps, as ‘constructions employing a conventional sign system,’ become texts.</w:t>
      </w:r>
      <w:r>
        <w:rPr>
          <w:rFonts w:ascii="Times" w:eastAsia="Times" w:hAnsi="Times" w:cs="Times"/>
          <w:color w:val="000000"/>
          <w:sz w:val="20"/>
          <w:szCs w:val="20"/>
        </w:rPr>
        <w:t>”</w:t>
      </w:r>
    </w:p>
    <w:p w14:paraId="0E4AEC02" w14:textId="77777777" w:rsidR="00076776" w:rsidRDefault="00000000">
      <w:r>
        <w:rPr>
          <w:highlight w:val="green"/>
        </w:rPr>
        <w:t>8</w:t>
      </w:r>
      <w:r>
        <w:t xml:space="preserve">: </w:t>
      </w:r>
      <w:r>
        <w:rPr>
          <w:b/>
        </w:rPr>
        <w:t>deconstruct</w:t>
      </w:r>
      <w:r>
        <w:t xml:space="preserve">: “… to reinscribe and resituate meanings, events and objects within broader movements and structures; it is, so to speak, to reverse the imposing tapestry in order to expose in all its unglamorously dishevelled tangle the threads constituting the well-heeled image it presents to the world.” Source: Terry </w:t>
      </w:r>
      <w:r>
        <w:rPr>
          <w:highlight w:val="magenta"/>
        </w:rPr>
        <w:t>Eagleton</w:t>
      </w:r>
      <w:r>
        <w:t xml:space="preserve">, </w:t>
      </w:r>
      <w:r>
        <w:rPr>
          <w:i/>
        </w:rPr>
        <w:t>Against the Grain</w:t>
      </w:r>
      <w:r>
        <w:t xml:space="preserve">. London: Verso, 1986: 80. Quoted in Edward W. Soja, </w:t>
      </w:r>
      <w:r>
        <w:rPr>
          <w:i/>
        </w:rPr>
        <w:t>Postmodern Geographies</w:t>
      </w:r>
      <w:r>
        <w:t xml:space="preserve">. London: Verso, 19189, 12. And, later, Christopher </w:t>
      </w:r>
      <w:r>
        <w:rPr>
          <w:highlight w:val="magenta"/>
        </w:rPr>
        <w:t>Norris</w:t>
      </w:r>
      <w:r>
        <w:t xml:space="preserve">’s quote: “… </w:t>
      </w:r>
      <w:r>
        <w:rPr>
          <w:rFonts w:ascii="Times" w:eastAsia="Times" w:hAnsi="Times" w:cs="Times"/>
          <w:color w:val="000000"/>
          <w:sz w:val="22"/>
          <w:szCs w:val="22"/>
        </w:rPr>
        <w:t xml:space="preserve">deconstruction is the vigilant seeking-out of those ‘aporias,’ </w:t>
      </w:r>
      <w:proofErr w:type="spellStart"/>
      <w:r>
        <w:rPr>
          <w:rFonts w:ascii="Times" w:eastAsia="Times" w:hAnsi="Times" w:cs="Times"/>
          <w:color w:val="000000"/>
          <w:sz w:val="22"/>
          <w:szCs w:val="22"/>
        </w:rPr>
        <w:t>blindspots</w:t>
      </w:r>
      <w:proofErr w:type="spellEnd"/>
      <w:r>
        <w:rPr>
          <w:rFonts w:ascii="Times" w:eastAsia="Times" w:hAnsi="Times" w:cs="Times"/>
          <w:color w:val="000000"/>
          <w:sz w:val="22"/>
          <w:szCs w:val="22"/>
        </w:rPr>
        <w:t xml:space="preserve"> or moments of self-contradiction where </w:t>
      </w:r>
      <w:r>
        <w:rPr>
          <w:rFonts w:ascii="Times" w:eastAsia="Times" w:hAnsi="Times" w:cs="Times"/>
          <w:color w:val="000000"/>
          <w:sz w:val="22"/>
          <w:szCs w:val="22"/>
          <w:highlight w:val="yellow"/>
        </w:rPr>
        <w:t xml:space="preserve">a text involuntarily betrays the tension between rhetoric and logic, between what it manifestly </w:t>
      </w:r>
      <w:r>
        <w:rPr>
          <w:rFonts w:ascii="Times" w:eastAsia="Times" w:hAnsi="Times" w:cs="Times"/>
          <w:i/>
          <w:color w:val="000000"/>
          <w:sz w:val="22"/>
          <w:szCs w:val="22"/>
          <w:highlight w:val="yellow"/>
        </w:rPr>
        <w:t xml:space="preserve">means to say </w:t>
      </w:r>
      <w:r>
        <w:rPr>
          <w:rFonts w:ascii="Times" w:eastAsia="Times" w:hAnsi="Times" w:cs="Times"/>
          <w:color w:val="000000"/>
          <w:sz w:val="22"/>
          <w:szCs w:val="22"/>
          <w:highlight w:val="yellow"/>
        </w:rPr>
        <w:t xml:space="preserve">and what it is nonetheless </w:t>
      </w:r>
      <w:r>
        <w:rPr>
          <w:rFonts w:ascii="Times" w:eastAsia="Times" w:hAnsi="Times" w:cs="Times"/>
          <w:i/>
          <w:color w:val="000000"/>
          <w:sz w:val="22"/>
          <w:szCs w:val="22"/>
          <w:highlight w:val="yellow"/>
        </w:rPr>
        <w:t>constrained to mean</w:t>
      </w:r>
      <w:r>
        <w:rPr>
          <w:rFonts w:ascii="Times" w:eastAsia="Times" w:hAnsi="Times" w:cs="Times"/>
          <w:color w:val="000000"/>
          <w:sz w:val="22"/>
          <w:szCs w:val="22"/>
          <w:highlight w:val="yellow"/>
        </w:rPr>
        <w:t>.</w:t>
      </w:r>
    </w:p>
    <w:p w14:paraId="6B4CC80A" w14:textId="77777777" w:rsidR="00076776" w:rsidRDefault="00000000">
      <w:r>
        <w:t xml:space="preserve">9: </w:t>
      </w:r>
      <w:r>
        <w:rPr>
          <w:b/>
        </w:rPr>
        <w:t>cartouches</w:t>
      </w:r>
      <w:r>
        <w:t xml:space="preserve">: “… a decorative emblem on a globe or map … may contain the title, the printer’s address, date of publication, the scale of the map and legends, and sometimes a dedication” (Wikipedia). </w:t>
      </w:r>
    </w:p>
    <w:p w14:paraId="7BA31420" w14:textId="77777777" w:rsidR="00076776" w:rsidRDefault="00000000">
      <w:r>
        <w:t xml:space="preserve">10: </w:t>
      </w:r>
      <w:r>
        <w:rPr>
          <w:b/>
        </w:rPr>
        <w:t>mythic geography</w:t>
      </w:r>
      <w:r>
        <w:t>: “… a landscape full of ‘points of interest,’ with incantations of loyalty to state emblems and to the values of a Christian piety. The hierarchy of towns and the visually dominating highways that connect them have become the legitimate natural order of the world.</w:t>
      </w:r>
    </w:p>
    <w:p w14:paraId="3A48106D" w14:textId="77777777" w:rsidR="00076776" w:rsidRDefault="00000000">
      <w:r>
        <w:t xml:space="preserve">10: </w:t>
      </w:r>
      <w:r>
        <w:rPr>
          <w:b/>
        </w:rPr>
        <w:t>symbolic realism</w:t>
      </w:r>
      <w:r>
        <w:t>: as regards so-called scientific maps: “… no less a statement of political authority and control than a coat-of-arms or a portrait of a queen placed at the head of an earlier decorative map. The metaphor has changed. The map has attempted to purge itself of ambiguity and alternative possibility.”</w:t>
      </w:r>
    </w:p>
    <w:p w14:paraId="79AB08B9" w14:textId="77777777" w:rsidR="00076776" w:rsidRDefault="00000000">
      <w:r>
        <w:t xml:space="preserve">10: </w:t>
      </w:r>
      <w:hyperlink r:id="rId28">
        <w:r w:rsidR="00076776">
          <w:rPr>
            <w:b/>
            <w:color w:val="0563C1"/>
            <w:u w:val="single"/>
          </w:rPr>
          <w:t>planimetrically</w:t>
        </w:r>
      </w:hyperlink>
      <w:r>
        <w:t xml:space="preserve">: “The topography as shown in maps, increasingly detailed and </w:t>
      </w:r>
      <w:r>
        <w:rPr>
          <w:b/>
        </w:rPr>
        <w:t>planimetrically</w:t>
      </w:r>
      <w:r>
        <w:t xml:space="preserve"> accurate, has become a metaphor for a utilitarian philosophy and its will to power.” </w:t>
      </w:r>
    </w:p>
    <w:p w14:paraId="317AAD53" w14:textId="77777777" w:rsidR="00076776" w:rsidRDefault="00000000">
      <w:r>
        <w:t>12</w:t>
      </w:r>
      <w:r>
        <w:rPr>
          <w:b/>
        </w:rPr>
        <w:t>: cartography as a discourse</w:t>
      </w:r>
      <w:r>
        <w:t>: “… a system which provides a set of rules for the representation of knowledge embodied in the images we define as maps and atlases.”</w:t>
      </w:r>
    </w:p>
    <w:p w14:paraId="4A581641" w14:textId="77777777" w:rsidR="00076776" w:rsidRDefault="00000000">
      <w:r>
        <w:rPr>
          <w:highlight w:val="green"/>
        </w:rPr>
        <w:t>13</w:t>
      </w:r>
      <w:r>
        <w:t xml:space="preserve">: </w:t>
      </w:r>
      <w:r>
        <w:rPr>
          <w:b/>
        </w:rPr>
        <w:t>cartographic process</w:t>
      </w:r>
      <w:r>
        <w:t xml:space="preserve">: “the way maps are compiled and the categories of information selected; the way they are generalized, a set of rules for the abstraction of the landscape; the way the elements in the landscape are formed into hierarchies; and the way various rhetorical styles that also reproduce power are employed to represent the landscape.”  </w:t>
      </w:r>
    </w:p>
    <w:p w14:paraId="305A91EF" w14:textId="77777777" w:rsidR="00076776" w:rsidRDefault="00076776"/>
    <w:p w14:paraId="1D9D3AE5" w14:textId="77777777" w:rsidR="00076776" w:rsidRDefault="00000000">
      <w:pPr>
        <w:pStyle w:val="Heading2"/>
      </w:pPr>
      <w:r>
        <w:lastRenderedPageBreak/>
        <w:t>Core quotes</w:t>
      </w:r>
    </w:p>
    <w:p w14:paraId="33E91818" w14:textId="77777777" w:rsidR="00076776" w:rsidRDefault="00000000">
      <w:r>
        <w:t>1 @Arg@Epistem@Map@Reason</w:t>
      </w:r>
    </w:p>
    <w:p w14:paraId="104E0D57" w14:textId="77777777" w:rsidR="00076776" w:rsidRDefault="00076776"/>
    <w:p w14:paraId="1D627410" w14:textId="77777777" w:rsidR="00076776" w:rsidRDefault="00000000">
      <w:r>
        <w:t xml:space="preserve">Harley’s thesis: </w:t>
      </w:r>
    </w:p>
    <w:p w14:paraId="650B38CA"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pPr>
      <w:r>
        <w:t xml:space="preserve">My basic argument in this essay is that we should encourage an epistemological shift in the way we interpret the nature of cartography. For historians of cartography, I believe a major roadblock to understanding is that we still accept uncritically the broad consensus, with relatively few dissenting voices, of what </w:t>
      </w:r>
      <w:r>
        <w:rPr>
          <w:i/>
        </w:rPr>
        <w:t xml:space="preserve">cartographers </w:t>
      </w:r>
      <w:r>
        <w:t xml:space="preserve">tell us maps are supposed to be. </w:t>
      </w:r>
      <w:proofErr w:type="gramStart"/>
      <w:r>
        <w:t>In particular, we</w:t>
      </w:r>
      <w:proofErr w:type="gramEnd"/>
      <w:r>
        <w:t xml:space="preserve"> often tend to work from the premise that mappers engage in an unquestionably ‘scientific’ or ‘objective’ form of knowledge creation.</w:t>
      </w:r>
    </w:p>
    <w:p w14:paraId="7A8E9950"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B9C7C89"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2 @Art@Map@Ontol</w:t>
      </w:r>
    </w:p>
    <w:p w14:paraId="4D6271F4"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pPr>
      <w:r>
        <w:t>Many may find it surprising that ‘art’ no longer exists in ‘professional’ cartography. In the present context, however, these signs of ontological schizophrenia can also be read as reflecting an urgent need to rethink the nature of maps from different perspectives.</w:t>
      </w:r>
    </w:p>
    <w:p w14:paraId="54BA83D8" w14:textId="77777777" w:rsidR="00076776" w:rsidRDefault="00076776"/>
    <w:p w14:paraId="1260C605" w14:textId="77777777" w:rsidR="00076776" w:rsidRDefault="00000000">
      <w:r>
        <w:t>@LitThe@Map@Reason@Epistem@IKSG</w:t>
      </w:r>
    </w:p>
    <w:p w14:paraId="25996B69"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w:eastAsia="Times" w:hAnsi="Times" w:cs="Times"/>
          <w:color w:val="000000"/>
          <w:sz w:val="12"/>
          <w:szCs w:val="12"/>
        </w:rPr>
      </w:pPr>
    </w:p>
    <w:p w14:paraId="09BA5A76" w14:textId="77777777" w:rsidR="00076776" w:rsidRDefault="00000000">
      <w:pPr>
        <w:ind w:left="720"/>
      </w:pPr>
      <w:r>
        <w:t xml:space="preserve">I shall specifically use a deconstructionist tactic to break the assumed link between reality and representation which has dominated cartographic thinking, has led it in the pathway of ‘normal science’ since the </w:t>
      </w:r>
      <w:r>
        <w:rPr>
          <w:b/>
        </w:rPr>
        <w:t>Enlightenment</w:t>
      </w:r>
      <w:r>
        <w:t>, and has also provided a ready-made and ‘taken for granted’ epistemology for the history of cartography. The objective is to suggest that an alternative epistemology, rooted in social theory rather than in scientific positivism, is more appropriate to the history of cartography. It will be shown that even ‘scientific’ maps are a product not only of ‘the rules of the order of geometry and reason’ but also of the ‘norms and values of the order of social... tradition.’</w:t>
      </w:r>
    </w:p>
    <w:p w14:paraId="4D2D2700" w14:textId="77777777" w:rsidR="00076776" w:rsidRDefault="00076776"/>
    <w:p w14:paraId="583E0570" w14:textId="77777777" w:rsidR="00076776" w:rsidRDefault="00000000">
      <w:r>
        <w:rPr>
          <w:highlight w:val="green"/>
        </w:rPr>
        <w:t>4-5 @IKSG</w:t>
      </w:r>
      <w:r>
        <w:t>@Map@CogImp@SpaceImp@Ontol@Epistem@Reason</w:t>
      </w:r>
    </w:p>
    <w:p w14:paraId="5E637CBE" w14:textId="77777777" w:rsidR="00076776" w:rsidRDefault="00076776">
      <w:pPr>
        <w:ind w:left="720"/>
      </w:pPr>
    </w:p>
    <w:p w14:paraId="29B563CF" w14:textId="77777777" w:rsidR="00076776" w:rsidRDefault="00000000">
      <w:pPr>
        <w:ind w:left="720"/>
      </w:pPr>
      <w:r>
        <w:t>Most striking is the belief in progress: that, by the application of science ever more precise representations of reality can be produced. The methods of cartography have delivered a “true, probable, progressive, or highly confirmed knowledge.” This mimetic bondage has led to a tendency not only to look down on the maps of the past (with a dismissive scientific chauvinism) but also to regard the maps of other non-Western or early cultures (where the rules of mapmaking were different) as inferior to European maps. … Cartographers developed a ‘sense of the other’ in relation to nonconforming maps.</w:t>
      </w:r>
    </w:p>
    <w:p w14:paraId="2EC2CD6C" w14:textId="77777777" w:rsidR="00076776" w:rsidRDefault="00076776"/>
    <w:p w14:paraId="024F7E2E" w14:textId="77777777" w:rsidR="00076776" w:rsidRDefault="00000000">
      <w:r>
        <w:t>5-6 @Map@Hegem@Epistem@GIS@Diss?</w:t>
      </w:r>
    </w:p>
    <w:p w14:paraId="3EA86B4D" w14:textId="77777777" w:rsidR="00076776" w:rsidRDefault="00076776"/>
    <w:p w14:paraId="5E29327A" w14:textId="77777777" w:rsidR="00076776" w:rsidRDefault="00000000">
      <w:r>
        <w:t xml:space="preserve">The sense of “order” embedded in map production: </w:t>
      </w:r>
    </w:p>
    <w:p w14:paraId="6D826A6E" w14:textId="77777777" w:rsidR="00076776" w:rsidRDefault="00076776"/>
    <w:p w14:paraId="3F39DE52" w14:textId="77777777" w:rsidR="00076776" w:rsidRDefault="00000000">
      <w:pPr>
        <w:ind w:left="720"/>
      </w:pPr>
      <w:r>
        <w:t>In the map itself</w:t>
      </w:r>
      <w:r>
        <w:rPr>
          <w:b/>
        </w:rPr>
        <w:t>, social structures are often disguised</w:t>
      </w:r>
      <w:r>
        <w:t xml:space="preserve"> </w:t>
      </w:r>
      <w:r>
        <w:rPr>
          <w:b/>
        </w:rPr>
        <w:t>beneath an abstract, instrumental space, or incarcerated in the coordinates of computer mapping</w:t>
      </w:r>
      <w:r>
        <w:t xml:space="preserve">. And in the technical literature of cartography they are also ignored, notwithstanding the fact that they may be as important as surveying, compilation, or design in producing the </w:t>
      </w:r>
      <w:r>
        <w:lastRenderedPageBreak/>
        <w:t>statements that cartography makes about the world and its landscapes. Such an interplay of social and technical rules is a universal feature of cartographic knowledge. In maps it produces the “order” of may enable us to define an episteme and to trace an archaeology of that knowledge through time.</w:t>
      </w:r>
    </w:p>
    <w:p w14:paraId="2A12B9E5" w14:textId="77777777" w:rsidR="00076776" w:rsidRDefault="00076776"/>
    <w:p w14:paraId="2B725252" w14:textId="77777777" w:rsidR="00076776" w:rsidRDefault="00000000">
      <w:r>
        <w:t>7 @Hegem@Map@Pow</w:t>
      </w:r>
    </w:p>
    <w:p w14:paraId="5BCCDC3E" w14:textId="77777777" w:rsidR="00076776" w:rsidRDefault="00000000">
      <w:pPr>
        <w:ind w:left="720"/>
      </w:pPr>
      <w:r>
        <w:t xml:space="preserve">Once again, much like ‘the rule of ethnocentrism,’ this </w:t>
      </w:r>
      <w:proofErr w:type="spellStart"/>
      <w:r>
        <w:rPr>
          <w:b/>
        </w:rPr>
        <w:t>hierarchicalization</w:t>
      </w:r>
      <w:proofErr w:type="spellEnd"/>
      <w:r>
        <w:rPr>
          <w:b/>
        </w:rPr>
        <w:t xml:space="preserve"> of space</w:t>
      </w:r>
      <w:r>
        <w:t xml:space="preserve"> is not a conscious act of cartographic representation. Rather it is taken for granted in a society that the place of the king is more important than the place of a lesser baron, … </w:t>
      </w:r>
    </w:p>
    <w:p w14:paraId="5D2A292A" w14:textId="77777777" w:rsidR="00076776" w:rsidRDefault="00076776"/>
    <w:p w14:paraId="357A06A7" w14:textId="77777777" w:rsidR="00076776" w:rsidRDefault="00000000">
      <w:r>
        <w:t>@Map@SJ@Pow@Hegem@Sign@SpaceImp@Art</w:t>
      </w:r>
    </w:p>
    <w:p w14:paraId="255DF8B4" w14:textId="77777777" w:rsidR="00076776" w:rsidRDefault="00000000">
      <w:pPr>
        <w:ind w:left="720"/>
      </w:pPr>
      <w:r>
        <w:t xml:space="preserve">Cartography deploys its vocabulary accordingly so that it embodies a systematic social inequality. The distinctions of class and power are engineered, reified and legitimated in the map by means of </w:t>
      </w:r>
      <w:r>
        <w:rPr>
          <w:b/>
        </w:rPr>
        <w:t>cartographic signs</w:t>
      </w:r>
      <w:r>
        <w:t xml:space="preserve">. The rule seems to be ‘the more powerful, the more prominent.’ To those who have strength in the world shall be added strength in the map. Using all the tricks of the cartographic trade—size of symbol, thickness of line, height of lettering, hatching and shading, the addition of color—we can trace this reinforcing tendency in innumerable European maps. We can begin to see how </w:t>
      </w:r>
      <w:r>
        <w:rPr>
          <w:b/>
        </w:rPr>
        <w:t>maps, like art, become a mechanism</w:t>
      </w:r>
      <w:r>
        <w:t xml:space="preserve"> “for defining social relationships, sustaining social rules, and strengthening social values.”</w:t>
      </w:r>
    </w:p>
    <w:p w14:paraId="211AE889" w14:textId="77777777" w:rsidR="00076776" w:rsidRDefault="00076776"/>
    <w:p w14:paraId="20578CC3" w14:textId="77777777" w:rsidR="00076776" w:rsidRDefault="00000000">
      <w:r>
        <w:t>@Map@SJ@Pow@Hegem@Reason</w:t>
      </w:r>
    </w:p>
    <w:p w14:paraId="59BFE922" w14:textId="77777777" w:rsidR="00076776" w:rsidRDefault="00000000">
      <w:pPr>
        <w:ind w:left="720"/>
      </w:pPr>
      <w:r>
        <w:t xml:space="preserve">Much of the power of the map, as a representation of social geography, is that it operates behind a mask of a </w:t>
      </w:r>
      <w:r>
        <w:rPr>
          <w:b/>
        </w:rPr>
        <w:t>seemingly neutral science</w:t>
      </w:r>
      <w:r>
        <w:t>. It hides and denies its social dimensions at the same time as it legitimates. Yet whichever way we look at it the rules of society will surface. They have ensured that maps are at least as much an image of the social order as they are a measurement of the phenomenal world of objects.</w:t>
      </w:r>
    </w:p>
    <w:p w14:paraId="325FA474" w14:textId="77777777" w:rsidR="00076776" w:rsidRDefault="00076776">
      <w:pPr>
        <w:ind w:left="720"/>
      </w:pPr>
    </w:p>
    <w:p w14:paraId="1A34CD96" w14:textId="77777777" w:rsidR="00076776" w:rsidRDefault="00000000">
      <w:r>
        <w:t>@Map@Intertext@WIAM</w:t>
      </w:r>
    </w:p>
    <w:p w14:paraId="76BFA5FE" w14:textId="77777777" w:rsidR="00076776" w:rsidRDefault="00000000">
      <w:pPr>
        <w:ind w:left="720"/>
      </w:pPr>
      <w:r>
        <w:t xml:space="preserve">‘Text’ is certainly a better metaphor for maps than the mirror of nature. </w:t>
      </w:r>
      <w:r>
        <w:rPr>
          <w:highlight w:val="green"/>
        </w:rPr>
        <w:t>Maps are a cultural text</w:t>
      </w:r>
      <w:r>
        <w:t>.</w:t>
      </w:r>
    </w:p>
    <w:p w14:paraId="314FEB73" w14:textId="77777777" w:rsidR="00076776" w:rsidRDefault="00076776"/>
    <w:p w14:paraId="62085D16" w14:textId="77777777" w:rsidR="00076776" w:rsidRDefault="00000000">
      <w:r>
        <w:t>@Aes@Map@Reason@CultBias</w:t>
      </w:r>
    </w:p>
    <w:p w14:paraId="75E80BAD" w14:textId="77777777" w:rsidR="00076776" w:rsidRDefault="00000000">
      <w:pPr>
        <w:ind w:left="720"/>
      </w:pPr>
      <w:r>
        <w:t xml:space="preserve">Rather than being inconsequential </w:t>
      </w:r>
      <w:r>
        <w:rPr>
          <w:b/>
        </w:rPr>
        <w:t>marginalia</w:t>
      </w:r>
      <w:r>
        <w:t xml:space="preserve">, the emblems in </w:t>
      </w:r>
      <w:r>
        <w:rPr>
          <w:b/>
        </w:rPr>
        <w:t>cartouches</w:t>
      </w:r>
      <w:r>
        <w:t xml:space="preserve"> and decorative titlepages can be regarded as basic to the way they convey their cultural meaning, help to demolish the claim of cartography to produce an impartial graphic science. But the possibility of such a revision is not limited to historic “decorative” maps.</w:t>
      </w:r>
    </w:p>
    <w:p w14:paraId="6214E142" w14:textId="77777777" w:rsidR="00076776" w:rsidRDefault="00076776"/>
    <w:p w14:paraId="56129317" w14:textId="77777777" w:rsidR="00076776" w:rsidRDefault="00000000">
      <w:r>
        <w:t xml:space="preserve">In essence, all media, including maps and their artistic accoutrement, reflect bias. </w:t>
      </w:r>
    </w:p>
    <w:p w14:paraId="21A1CBB3" w14:textId="77777777" w:rsidR="00076776" w:rsidRDefault="00076776"/>
    <w:p w14:paraId="57104C8C" w14:textId="77777777" w:rsidR="00076776" w:rsidRDefault="00000000">
      <w:r>
        <w:t>@Intertext@Map</w:t>
      </w:r>
    </w:p>
    <w:p w14:paraId="27556B61" w14:textId="77777777" w:rsidR="00076776" w:rsidRDefault="00000000">
      <w:pPr>
        <w:ind w:left="720"/>
      </w:pPr>
      <w:r>
        <w:rPr>
          <w:highlight w:val="green"/>
        </w:rPr>
        <w:t>No map is devoid of an intertextual dimension</w:t>
      </w:r>
      <w:r>
        <w:t xml:space="preserve"> and, in this case too, the discovery of intertextuality enables us to scan the image as more than a neutral picture of a road network. </w:t>
      </w:r>
    </w:p>
    <w:p w14:paraId="13053DE2" w14:textId="77777777" w:rsidR="00076776" w:rsidRDefault="00076776"/>
    <w:p w14:paraId="4B23D22E"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10 @CounterArg@LitThe@Reason@Maps</w:t>
      </w:r>
    </w:p>
    <w:p w14:paraId="384308B3"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lastRenderedPageBreak/>
        <w:t>Counter argument for deconstructionist reading of maps? Defer to “science.”</w:t>
      </w:r>
    </w:p>
    <w:p w14:paraId="7EB19AA2"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E86305C"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pPr>
      <w:r>
        <w:t>“Well after all it’s a state highway map. It’s designed to be at once popular and useful. We expect it to exaggerate the road network and to show points of interest to motorists. It is a derived rather than a basic map.” It is not a scientific map. The appeal to the ultimate scientific map is always the cartographers’ last line of defence when seeking to deny the social relations that permeate their technology.</w:t>
      </w:r>
    </w:p>
    <w:p w14:paraId="7CFA2ED5"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pPr>
    </w:p>
    <w:p w14:paraId="24E3937F" w14:textId="77777777" w:rsidR="00076776" w:rsidRDefault="00000000">
      <w:r>
        <w:rPr>
          <w:highlight w:val="green"/>
        </w:rPr>
        <w:t>10</w:t>
      </w:r>
      <w:r>
        <w:t xml:space="preserve"> @Arg@Map@LitThe</w:t>
      </w:r>
    </w:p>
    <w:p w14:paraId="499E3B30" w14:textId="77777777" w:rsidR="00076776" w:rsidRDefault="00000000">
      <w:r>
        <w:t xml:space="preserve">On Derrida’s analytic turn for maps: </w:t>
      </w:r>
    </w:p>
    <w:p w14:paraId="56518849" w14:textId="77777777" w:rsidR="00076776" w:rsidRDefault="00000000">
      <w:pPr>
        <w:ind w:left="720"/>
      </w:pPr>
      <w:r>
        <w:t xml:space="preserve">Derrida’s strategy can help us to extend such an interpretation to all maps, scientific or non-scientific, basic or derived. Just as in the deconstruction of philosophy Derrida was able to show “how the supposedly literal level is intensively metaphorical” so too we can show how cartographic ‘fact’ is also symbol. </w:t>
      </w:r>
      <w:r>
        <w:rPr>
          <w:b/>
        </w:rPr>
        <w:t>In ‘plain’ scientific maps, science itself becomes the metaphor</w:t>
      </w:r>
      <w:r>
        <w:t>.</w:t>
      </w:r>
    </w:p>
    <w:p w14:paraId="10E64F49" w14:textId="77777777" w:rsidR="00076776" w:rsidRDefault="00076776"/>
    <w:p w14:paraId="6E7C532C" w14:textId="77777777" w:rsidR="00076776" w:rsidRDefault="00000000">
      <w:r>
        <w:t>@Map@Topo@NeoCol@CultBias@WIAM</w:t>
      </w:r>
    </w:p>
    <w:p w14:paraId="328FACE8" w14:textId="77777777" w:rsidR="00076776" w:rsidRDefault="00000000">
      <w:pPr>
        <w:ind w:left="720"/>
      </w:pPr>
      <w:r>
        <w:t xml:space="preserve">Maps of the European states, though constructed along arcs of the meridian, served still as a symbolic shorthand for a complex of nationalist ideas. And world maps, though increasingly drawn on mathematically defined projections, nevertheless gave a spiralling twist to the manifest destiny of European overseas </w:t>
      </w:r>
      <w:r>
        <w:rPr>
          <w:b/>
        </w:rPr>
        <w:t>conquest and colonization</w:t>
      </w:r>
      <w:r>
        <w:t>.</w:t>
      </w:r>
    </w:p>
    <w:p w14:paraId="4CE905BD" w14:textId="77777777" w:rsidR="00076776" w:rsidRDefault="00076776"/>
    <w:p w14:paraId="228E0C1D" w14:textId="77777777" w:rsidR="00076776" w:rsidRDefault="00000000">
      <w:r>
        <w:rPr>
          <w:highlight w:val="green"/>
        </w:rPr>
        <w:t>11</w:t>
      </w:r>
      <w:r>
        <w:t xml:space="preserve"> @Arg@Rhet@Reason@Map@Perf@Dual</w:t>
      </w:r>
    </w:p>
    <w:p w14:paraId="3E736FF4" w14:textId="77777777" w:rsidR="00076776" w:rsidRDefault="00000000">
      <w:pPr>
        <w:ind w:left="720"/>
      </w:pPr>
      <w:r>
        <w:t xml:space="preserve">My position is to accept that rhetoric is part of the way all texts work and that </w:t>
      </w:r>
      <w:r>
        <w:rPr>
          <w:b/>
        </w:rPr>
        <w:t>all maps are rhetorical texts</w:t>
      </w:r>
      <w:r>
        <w:t xml:space="preserve">. </w:t>
      </w:r>
      <w:proofErr w:type="gramStart"/>
      <w:r>
        <w:t>Again</w:t>
      </w:r>
      <w:proofErr w:type="gramEnd"/>
      <w:r>
        <w:t xml:space="preserve"> we ought to dismantle the arbitrary dualism between ‘propaganda’ and ‘true,’ and between modes of ‘artistic’ and ‘scientific’ representation as they are found in maps. All maps strive to frame their message in the context of an audience. All maps state an argument about the </w:t>
      </w:r>
      <w:proofErr w:type="gramStart"/>
      <w:r>
        <w:t>world</w:t>
      </w:r>
      <w:proofErr w:type="gramEnd"/>
      <w:r>
        <w:t xml:space="preserve"> and they are propositional in nature. All maps employ the common devices of rhetoric such as invocations of authority (</w:t>
      </w:r>
      <w:r>
        <w:rPr>
          <w:i/>
        </w:rPr>
        <w:t xml:space="preserve">especially </w:t>
      </w:r>
      <w:r>
        <w:t xml:space="preserve">in ‘scientific’ maps) and appeals to a potential readership </w:t>
      </w:r>
      <w:proofErr w:type="gramStart"/>
      <w:r>
        <w:t>through the use of</w:t>
      </w:r>
      <w:proofErr w:type="gramEnd"/>
      <w:r>
        <w:t xml:space="preserve"> colors, decoration, typography, dedications, or written justifications of their method. Rhetoric may be concealed but it is always present, for there is no description without performance. … </w:t>
      </w:r>
      <w:r>
        <w:rPr>
          <w:b/>
        </w:rPr>
        <w:t>I am not concerned to privilege rhetoric over science, but to dissolve the illusory distinction between the two in reading the social purposes as well as the content of maps</w:t>
      </w:r>
      <w:r>
        <w:t>.</w:t>
      </w:r>
    </w:p>
    <w:p w14:paraId="6D9ABF0D" w14:textId="77777777" w:rsidR="00076776" w:rsidRDefault="00076776"/>
    <w:p w14:paraId="64A046A3" w14:textId="77777777" w:rsidR="00076776" w:rsidRDefault="00000000">
      <w:r>
        <w:rPr>
          <w:highlight w:val="green"/>
        </w:rPr>
        <w:t>13</w:t>
      </w:r>
      <w:r>
        <w:t xml:space="preserve"> @</w:t>
      </w:r>
      <w:proofErr w:type="gramStart"/>
      <w:r>
        <w:t>Boom!@</w:t>
      </w:r>
      <w:proofErr w:type="gramEnd"/>
      <w:r>
        <w:t>Map@Pow@Surveil@Polity</w:t>
      </w:r>
    </w:p>
    <w:p w14:paraId="73C2D139" w14:textId="77777777" w:rsidR="00076776" w:rsidRDefault="00000000">
      <w:pPr>
        <w:ind w:left="720"/>
        <w:rPr>
          <w:highlight w:val="green"/>
        </w:rPr>
      </w:pPr>
      <w:r>
        <w:rPr>
          <w:highlight w:val="green"/>
        </w:rPr>
        <w:t xml:space="preserve">Cartographers manufacture power: they create a spatial panopticon. It is a power embedded in the map text. We can talk about the power of the map just as we already talk about the power of the word or about the book as a force for change. In this sense maps have politics. … The map is a silent arbiter of power. </w:t>
      </w:r>
    </w:p>
    <w:p w14:paraId="13E17B22" w14:textId="77777777" w:rsidR="00076776" w:rsidRDefault="00076776">
      <w:pPr>
        <w:ind w:left="720"/>
      </w:pPr>
    </w:p>
    <w:p w14:paraId="4C3D91C1" w14:textId="77777777" w:rsidR="00076776" w:rsidRDefault="00000000">
      <w:r>
        <w:rPr>
          <w:highlight w:val="green"/>
        </w:rPr>
        <w:t>14</w:t>
      </w:r>
      <w:r>
        <w:t xml:space="preserve"> @Arg@NeoCol@Hist@Map@Pow@Hegem@</w:t>
      </w:r>
      <w:proofErr w:type="gramStart"/>
      <w:r>
        <w:t>SpaceImp!Motherlode</w:t>
      </w:r>
      <w:proofErr w:type="gramEnd"/>
      <w:r>
        <w:t>@Ontol@Diss</w:t>
      </w:r>
    </w:p>
    <w:p w14:paraId="710D811C" w14:textId="77777777" w:rsidR="00076776" w:rsidRDefault="00000000">
      <w:r>
        <w:t xml:space="preserve">Likely the most important quote in this essay: </w:t>
      </w:r>
    </w:p>
    <w:p w14:paraId="2E1F13DF" w14:textId="77777777" w:rsidR="00076776" w:rsidRDefault="00000000">
      <w:pPr>
        <w:ind w:left="720"/>
        <w:rPr>
          <w:highlight w:val="green"/>
        </w:rPr>
      </w:pPr>
      <w:r>
        <w:t xml:space="preserve">Maps are not external to these struggles to alter power relations. The history of map use suggests that this may be so and that maps embody specific forms of power and authority. </w:t>
      </w:r>
      <w:r>
        <w:lastRenderedPageBreak/>
        <w:t xml:space="preserve">Since the Renaissance they have changed the way in which power was exercised. In </w:t>
      </w:r>
      <w:r>
        <w:rPr>
          <w:b/>
        </w:rPr>
        <w:t>colonial North America</w:t>
      </w:r>
      <w:r>
        <w:t>, for example, it was easy for Europeans to draw lines across the territories of Indian nations without sensing the reality of their political identity</w:t>
      </w:r>
      <w:r>
        <w:rPr>
          <w:b/>
        </w:rPr>
        <w:t>. The map allowed them to say,</w:t>
      </w:r>
      <w:r>
        <w:t xml:space="preserve"> “</w:t>
      </w:r>
      <w:r>
        <w:rPr>
          <w:b/>
        </w:rPr>
        <w:t>This is mine; these are the boundaries</w:t>
      </w:r>
      <w:r>
        <w:t xml:space="preserve">. … Once embedded in the published text the lines on the map acquire an authority that may be hard to dislodge. Maps are authoritarian images. </w:t>
      </w:r>
      <w:r>
        <w:rPr>
          <w:highlight w:val="green"/>
        </w:rPr>
        <w:t>Without our being aware of it maps can reinforce and legitimate the status quo. Sometimes agents of change, they can equally become conservative documents. But in either case the map is never neutral.</w:t>
      </w:r>
    </w:p>
    <w:p w14:paraId="794A1FDC" w14:textId="77777777" w:rsidR="00076776" w:rsidRDefault="00000000">
      <w:pPr>
        <w:pStyle w:val="Heading2"/>
      </w:pPr>
      <w:r>
        <w:t>Secondary quotes</w:t>
      </w:r>
    </w:p>
    <w:p w14:paraId="2BB53090"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2 GIS and “… </w:t>
      </w:r>
      <w:r>
        <w:rPr>
          <w:b/>
        </w:rPr>
        <w:t>the scientistic rhetoric of map makers</w:t>
      </w:r>
      <w:r>
        <w:t xml:space="preserve">…” / “… two definitions of cartography, ‘one for professional cartographers and the other for the public at large’ …” / 3 “… three threads of argument … First, I shall examine the discourse of cartography in the light of some of Foucault’s ideas about the play of rules within discursive formations. Second, drawing on one of </w:t>
      </w:r>
      <w:r>
        <w:rPr>
          <w:highlight w:val="magenta"/>
        </w:rPr>
        <w:t>Derrida</w:t>
      </w:r>
      <w:r>
        <w:t>’s central positions I will examine the textuality of maps</w:t>
      </w:r>
      <w:proofErr w:type="gramStart"/>
      <w:r>
        <w:t xml:space="preserve"> and, in particular,</w:t>
      </w:r>
      <w:proofErr w:type="gramEnd"/>
      <w:r>
        <w:t xml:space="preserve"> their rhetorical dimension. Third, returning to </w:t>
      </w:r>
      <w:r>
        <w:rPr>
          <w:highlight w:val="magenta"/>
        </w:rPr>
        <w:t>Foucault</w:t>
      </w:r>
      <w:r>
        <w:t xml:space="preserve">, I will consider how maps work in society as a form of power-knowledge.” / 4 as regards resistance in the field: “Even philosophers of visual communication —such as Arnheim, Eco, Gombrich, and Goodman type of congruent diagram — as analogs, models, or ‘equivalents’ creating a similitude of reality — and, in essence, different from art or painting. A ‘scientific’ cartography (so it was believed) would be untainted by social factors. Even today many cartographers are puzzled by the suggestion that political and sociological theory could throw light on their practices. They will probably shudder at the mention of deconstruction.” / 6 cartographic “Holy Lands” are “frequently centred on maps” / 8 more on “neutrality” of maps: “… a rejection of the neutrality of maps, as we come to define their intentions rather than the literal face of representation, and as we begin to accept the social consequences of cartographic practices.” / Great </w:t>
      </w:r>
      <w:r>
        <w:rPr>
          <w:highlight w:val="magenta"/>
        </w:rPr>
        <w:t>Mitchell</w:t>
      </w:r>
      <w:r>
        <w:t xml:space="preserve"> quote: / “… writing of languages and images in general, we may need to regard them more as “enigmas, problems to be explained, prison-houses which lock the understanding away from the world.” We should regard them “as the sort of sign that presents a deceptive appearance of naturalness and </w:t>
      </w:r>
      <w:proofErr w:type="spellStart"/>
      <w:r>
        <w:t>transparence</w:t>
      </w:r>
      <w:proofErr w:type="spellEnd"/>
      <w:r>
        <w:t xml:space="preserve"> concealing an opaque, distorting, arbitrary mechanism of representation. Source: W.J.T. Mitchell, </w:t>
      </w:r>
      <w:r>
        <w:rPr>
          <w:i/>
        </w:rPr>
        <w:t>Iconology: Image, Text, Ideology</w:t>
      </w:r>
      <w:r>
        <w:t xml:space="preserve">. Chicago: The University of Chicago Press, 1986: 8. / 9 “… decorative art on the European maps of the seventeenth and eighteenth centuries…” / 9 @Sign: “Roland </w:t>
      </w:r>
      <w:r>
        <w:rPr>
          <w:highlight w:val="magenta"/>
        </w:rPr>
        <w:t>Barthes</w:t>
      </w:r>
      <w:r>
        <w:t xml:space="preserve"> of myth as a </w:t>
      </w:r>
      <w:proofErr w:type="spellStart"/>
      <w:r>
        <w:rPr>
          <w:b/>
        </w:rPr>
        <w:t>semiological</w:t>
      </w:r>
      <w:proofErr w:type="spellEnd"/>
      <w:r>
        <w:rPr>
          <w:b/>
        </w:rPr>
        <w:t xml:space="preserve"> system</w:t>
      </w:r>
      <w:r>
        <w:t xml:space="preserve"> …” / 11 ‘scientific’ cartography’s efforts to convert culture into nature, and to ‘naturalize’ / </w:t>
      </w:r>
      <w:r>
        <w:rPr>
          <w:b/>
        </w:rPr>
        <w:t>@Arg</w:t>
      </w:r>
      <w:r>
        <w:t xml:space="preserve">: “The issue in contention is not whether some maps are rhetorical, or whether other maps are partly rhetorical, but the extent to which rhetoric is a universal aspect of all cartographic texts.” / 12 @Arg and external/internal power: “I propose to draw a distinction between external and internal power in cartography. This ultimately derives from Foucault’s ideas about power-knowledge, but this </w:t>
      </w:r>
      <w:proofErr w:type="gramStart"/>
      <w:r>
        <w:t>particular formulation</w:t>
      </w:r>
      <w:proofErr w:type="gramEnd"/>
      <w:r>
        <w:t xml:space="preserve"> is owed to Joseph </w:t>
      </w:r>
      <w:r>
        <w:rPr>
          <w:highlight w:val="magenta"/>
        </w:rPr>
        <w:t>Rouse</w:t>
      </w:r>
      <w:r>
        <w:t xml:space="preserve">’s recent book on Knowledge and Power, where a theory of the internal power of science is in turn based on his reading of </w:t>
      </w:r>
      <w:r>
        <w:rPr>
          <w:highlight w:val="magenta"/>
        </w:rPr>
        <w:t>Foucault</w:t>
      </w:r>
      <w:r>
        <w:t>. / 12 Foucault and “juridical power” / @</w:t>
      </w:r>
      <w:proofErr w:type="gramStart"/>
      <w:r>
        <w:t>Link:</w:t>
      </w:r>
      <w:r>
        <w:rPr>
          <w:highlight w:val="magenta"/>
        </w:rPr>
        <w:t>McLuhan</w:t>
      </w:r>
      <w:proofErr w:type="gramEnd"/>
      <w:r>
        <w:t xml:space="preserve">: Marshall McLuhan’s phrase (“logic of print”)? Like him I believe we </w:t>
      </w:r>
      <w:proofErr w:type="gramStart"/>
      <w:r>
        <w:t>have to</w:t>
      </w:r>
      <w:proofErr w:type="gramEnd"/>
      <w:r>
        <w:t xml:space="preserve"> consider for maps the effects of abstraction, uniformity, repeatability, and visuality in shaping mental structures, and in imparting a sense of the places of the world.”  / 15 “</w:t>
      </w:r>
      <w:r>
        <w:rPr>
          <w:b/>
        </w:rPr>
        <w:t>By dismantling we build</w:t>
      </w:r>
      <w:r>
        <w:t>. The possibilities of discovering meaning in maps and of tracing the social mechanisms of cartographic change are enlarged. Postmodernism offers a challenge to read maps in ways that could reciprocally enrich the reading of other texts.”</w:t>
      </w:r>
    </w:p>
    <w:p w14:paraId="6114BE88" w14:textId="77777777" w:rsidR="00076776" w:rsidRDefault="00076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w:eastAsia="Times" w:hAnsi="Times" w:cs="Times"/>
          <w:color w:val="000000"/>
          <w:sz w:val="22"/>
          <w:szCs w:val="22"/>
        </w:rPr>
      </w:pPr>
    </w:p>
    <w:p w14:paraId="73DE466A" w14:textId="77777777" w:rsidR="00076776" w:rsidRDefault="00000000">
      <w:pPr>
        <w:pStyle w:val="Heading2"/>
      </w:pPr>
      <w:r>
        <w:lastRenderedPageBreak/>
        <w:t>Notes</w:t>
      </w:r>
    </w:p>
    <w:p w14:paraId="314036A3" w14:textId="77777777" w:rsidR="00076776" w:rsidRDefault="00000000">
      <w:r>
        <w:t xml:space="preserve">Note that I have included Rose-Redwood’s response to this essay in my FF readings. See “Introduction” to </w:t>
      </w:r>
      <w:proofErr w:type="spellStart"/>
      <w:r>
        <w:rPr>
          <w:i/>
        </w:rPr>
        <w:t>Cartographica</w:t>
      </w:r>
      <w:proofErr w:type="spellEnd"/>
      <w:r>
        <w:rPr>
          <w:i/>
        </w:rPr>
        <w:t xml:space="preserve">: The International Journal for Geographic Information and </w:t>
      </w:r>
      <w:proofErr w:type="spellStart"/>
      <w:r>
        <w:rPr>
          <w:i/>
        </w:rPr>
        <w:t>Geovisualization</w:t>
      </w:r>
      <w:proofErr w:type="spellEnd"/>
      <w:r>
        <w:rPr>
          <w:i/>
        </w:rPr>
        <w:t>—Deconstructing the Map: 25 Years On</w:t>
      </w:r>
      <w:r>
        <w:t xml:space="preserve"> [special issue]. </w:t>
      </w:r>
    </w:p>
    <w:p w14:paraId="077CD4E0" w14:textId="77777777" w:rsidR="00076776" w:rsidRDefault="00076776"/>
    <w:p w14:paraId="5AFF37B1" w14:textId="77777777" w:rsidR="00076776" w:rsidRDefault="00000000">
      <w:pPr>
        <w:pStyle w:val="Heading1"/>
      </w:pPr>
      <w:bookmarkStart w:id="30" w:name="_heading=h.49x2ik5" w:colFirst="0" w:colLast="0"/>
      <w:bookmarkEnd w:id="30"/>
      <w:r>
        <w:t xml:space="preserve">(1991) </w:t>
      </w:r>
      <w:proofErr w:type="spellStart"/>
      <w:r>
        <w:t>Monmonier</w:t>
      </w:r>
      <w:proofErr w:type="spellEnd"/>
      <w:r>
        <w:t xml:space="preserve">, </w:t>
      </w:r>
      <w:r>
        <w:rPr>
          <w:i/>
        </w:rPr>
        <w:t>How to Lie with Maps</w:t>
      </w:r>
    </w:p>
    <w:p w14:paraId="0C08627C" w14:textId="77777777" w:rsidR="00076776" w:rsidRDefault="00000000">
      <w:r>
        <w:t xml:space="preserve">Note that you used a converted </w:t>
      </w:r>
      <w:proofErr w:type="spellStart"/>
      <w:r>
        <w:t>ebook</w:t>
      </w:r>
      <w:proofErr w:type="spellEnd"/>
      <w:r>
        <w:t xml:space="preserve"> &gt; PDF version. </w:t>
      </w:r>
    </w:p>
    <w:p w14:paraId="38B6F914" w14:textId="77777777" w:rsidR="00076776" w:rsidRDefault="00000000">
      <w:pPr>
        <w:pStyle w:val="Heading2"/>
      </w:pPr>
      <w:r>
        <w:t>Abstract</w:t>
      </w:r>
    </w:p>
    <w:p w14:paraId="5E7E396C" w14:textId="77777777" w:rsidR="00076776" w:rsidRDefault="00000000">
      <w:r>
        <w:t xml:space="preserve">All you ever wanted to know about maps, and the ways in which they persuade, convince, and control. </w:t>
      </w:r>
    </w:p>
    <w:p w14:paraId="2B6DD72D" w14:textId="77777777" w:rsidR="00076776" w:rsidRDefault="00076776"/>
    <w:p w14:paraId="2FE4A540" w14:textId="77777777" w:rsidR="00076776" w:rsidRDefault="00000000">
      <w:pPr>
        <w:pStyle w:val="Heading2"/>
      </w:pPr>
      <w:r>
        <w:t>Key words</w:t>
      </w:r>
    </w:p>
    <w:p w14:paraId="71A46229" w14:textId="77777777" w:rsidR="00076776" w:rsidRDefault="00000000">
      <w:r>
        <w:t xml:space="preserve">map, propaganda, cartographic manipulation, graphic hierarchy, symbols. </w:t>
      </w:r>
    </w:p>
    <w:p w14:paraId="4A56BDE6" w14:textId="77777777" w:rsidR="00076776" w:rsidRDefault="00076776"/>
    <w:p w14:paraId="7CBFF5E5" w14:textId="77777777" w:rsidR="00076776" w:rsidRDefault="00000000">
      <w:pPr>
        <w:pStyle w:val="Heading2"/>
      </w:pPr>
      <w:r>
        <w:t>Essential quote</w:t>
      </w:r>
    </w:p>
    <w:p w14:paraId="6B494E1F" w14:textId="77777777" w:rsidR="00076776" w:rsidRDefault="00000000">
      <w:pPr>
        <w:rPr>
          <w:highlight w:val="green"/>
        </w:rPr>
      </w:pPr>
      <w:r>
        <w:rPr>
          <w:highlight w:val="green"/>
        </w:rPr>
        <w:t xml:space="preserve">112: The map is the perfect symbol of the state. </w:t>
      </w:r>
    </w:p>
    <w:p w14:paraId="7646E5BB" w14:textId="77777777" w:rsidR="00076776" w:rsidRDefault="00000000">
      <w:r>
        <w:t>135: [@WIAM] Like guns and lacrosse sticks, maps can be good or bad, depending on who’s holding them, who they’re aimed at, how they’re used, and why.</w:t>
      </w:r>
    </w:p>
    <w:p w14:paraId="18E83B7C" w14:textId="77777777" w:rsidR="00076776" w:rsidRDefault="00076776"/>
    <w:p w14:paraId="203EC3F7" w14:textId="77777777" w:rsidR="00076776" w:rsidRDefault="00000000">
      <w:pPr>
        <w:pStyle w:val="Heading2"/>
      </w:pPr>
      <w:r>
        <w:t>Terms</w:t>
      </w:r>
    </w:p>
    <w:p w14:paraId="22F08BE3" w14:textId="77777777" w:rsidR="00076776" w:rsidRDefault="00000000">
      <w:r>
        <w:t xml:space="preserve">15: </w:t>
      </w:r>
      <w:r>
        <w:rPr>
          <w:b/>
        </w:rPr>
        <w:t>Ratio scale</w:t>
      </w:r>
      <w:r>
        <w:t xml:space="preserve">: … one unit of distance on the map to a specific distance on the ground. The units must be the same, so that a ratio of 1:10,000 means that a 1-inch line on the map represents a 10,000-inch stretch of road—or that 1 centimeter represents 10,000 centimeters or </w:t>
      </w:r>
      <w:proofErr w:type="gramStart"/>
      <w:r>
        <w:t>1 foot</w:t>
      </w:r>
      <w:proofErr w:type="gramEnd"/>
      <w:r>
        <w:t xml:space="preserve"> stands for 10,000 </w:t>
      </w:r>
      <w:proofErr w:type="gramStart"/>
      <w:r>
        <w:t>fee</w:t>
      </w:r>
      <w:proofErr w:type="gramEnd"/>
      <w:r>
        <w:t xml:space="preserve">. </w:t>
      </w:r>
      <w:proofErr w:type="gramStart"/>
      <w:r>
        <w:t>As long as</w:t>
      </w:r>
      <w:proofErr w:type="gramEnd"/>
      <w:r>
        <w:t xml:space="preserve"> they are the same, the units don’t matter and need not be stated; the ratio scale is a dimensionless number. By convention, the part of the ratio to the left of the colon is always 1.</w:t>
      </w:r>
    </w:p>
    <w:p w14:paraId="01333CF0" w14:textId="77777777" w:rsidR="00076776" w:rsidRDefault="00000000">
      <w:r>
        <w:t xml:space="preserve">17: </w:t>
      </w:r>
      <w:r>
        <w:rPr>
          <w:b/>
        </w:rPr>
        <w:t>bar scale &amp; graphic scales</w:t>
      </w:r>
      <w:r>
        <w:t xml:space="preserve">: … portrays a series of conveniently rounded distances appropriate to the map’s function and the area covered. </w:t>
      </w:r>
    </w:p>
    <w:p w14:paraId="25B582E1" w14:textId="77777777" w:rsidR="00076776" w:rsidRDefault="00076776">
      <w:pPr>
        <w:jc w:val="center"/>
        <w:rPr>
          <w:b/>
        </w:rPr>
      </w:pPr>
    </w:p>
    <w:p w14:paraId="3F6AB45A" w14:textId="77777777" w:rsidR="00076776" w:rsidRDefault="00000000">
      <w:r>
        <w:rPr>
          <w:noProof/>
        </w:rPr>
        <w:drawing>
          <wp:inline distT="0" distB="0" distL="0" distR="0" wp14:anchorId="0A10A09E" wp14:editId="3AEE8346">
            <wp:extent cx="3164840" cy="1243330"/>
            <wp:effectExtent l="0" t="0" r="0" b="0"/>
            <wp:docPr id="8" name="image2.png" descr="A picture containing object, cl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object, clock&#10;&#10;Description automatically generated"/>
                    <pic:cNvPicPr preferRelativeResize="0"/>
                  </pic:nvPicPr>
                  <pic:blipFill>
                    <a:blip r:embed="rId29"/>
                    <a:srcRect/>
                    <a:stretch>
                      <a:fillRect/>
                    </a:stretch>
                  </pic:blipFill>
                  <pic:spPr>
                    <a:xfrm>
                      <a:off x="0" y="0"/>
                      <a:ext cx="3164840" cy="1243330"/>
                    </a:xfrm>
                    <a:prstGeom prst="rect">
                      <a:avLst/>
                    </a:prstGeom>
                    <a:ln/>
                  </pic:spPr>
                </pic:pic>
              </a:graphicData>
            </a:graphic>
          </wp:inline>
        </w:drawing>
      </w:r>
    </w:p>
    <w:p w14:paraId="7B95B207" w14:textId="77777777" w:rsidR="00076776" w:rsidRDefault="00000000">
      <w:r>
        <w:t xml:space="preserve">18: </w:t>
      </w:r>
      <w:r>
        <w:rPr>
          <w:b/>
        </w:rPr>
        <w:t>map projections</w:t>
      </w:r>
      <w:r>
        <w:t xml:space="preserve">: Map projections, which transform the curved, three-dimensional surface of the planet into a flat, two-dimensional plane, can greatly distort map scale. [20] … map projection as a </w:t>
      </w:r>
      <w:r>
        <w:rPr>
          <w:u w:val="single"/>
        </w:rPr>
        <w:t>two-stage process</w:t>
      </w:r>
      <w:r>
        <w:t xml:space="preserve">. </w:t>
      </w:r>
      <w:r>
        <w:rPr>
          <w:u w:val="single"/>
        </w:rPr>
        <w:t>Stage one shrinks the earth to a globe</w:t>
      </w:r>
      <w:r>
        <w:t xml:space="preserve">, for which the ratio scale is valid everywhere and in all directions. </w:t>
      </w:r>
      <w:r>
        <w:rPr>
          <w:u w:val="single"/>
        </w:rPr>
        <w:t xml:space="preserve">Stage two </w:t>
      </w:r>
      <w:proofErr w:type="gramStart"/>
      <w:r>
        <w:rPr>
          <w:u w:val="single"/>
        </w:rPr>
        <w:t>projects</w:t>
      </w:r>
      <w:proofErr w:type="gramEnd"/>
      <w:r>
        <w:rPr>
          <w:u w:val="single"/>
        </w:rPr>
        <w:t xml:space="preserve"> symbols from the globe onto a flattenable surface</w:t>
      </w:r>
      <w:r>
        <w:t xml:space="preserve">, such as a plane, a cone, or a cylinder, which is attached to the globe at a point or at one or two </w:t>
      </w:r>
      <w:r>
        <w:rPr>
          <w:i/>
        </w:rPr>
        <w:t>standard lines</w:t>
      </w:r>
      <w:r>
        <w:t xml:space="preserve"> [see image on p. 20].</w:t>
      </w:r>
    </w:p>
    <w:p w14:paraId="38DBAA28" w14:textId="77777777" w:rsidR="00076776" w:rsidRDefault="00000000">
      <w:pPr>
        <w:ind w:left="720"/>
      </w:pPr>
      <w:r>
        <w:lastRenderedPageBreak/>
        <w:t xml:space="preserve">See variations in the following: The common </w:t>
      </w:r>
      <w:r>
        <w:rPr>
          <w:i/>
          <w:u w:val="single"/>
        </w:rPr>
        <w:t>developable surfaces</w:t>
      </w:r>
      <w:r>
        <w:t xml:space="preserve">—plane, cone, and cylinder— allow the mapmaker to minimize distortion by centering the projection in or near the region featured on the map. World maps commonly use a cylindrical projection, centered on the equator. Figure 2.4 shows that a </w:t>
      </w:r>
      <w:r>
        <w:rPr>
          <w:i/>
          <w:u w:val="single"/>
        </w:rPr>
        <w:t xml:space="preserve">secant </w:t>
      </w:r>
      <w:r>
        <w:rPr>
          <w:u w:val="single"/>
        </w:rPr>
        <w:t xml:space="preserve">cylindrical </w:t>
      </w:r>
      <w:r>
        <w:t xml:space="preserve">projection, which cuts through the globe, yields two standard lines, whereas a </w:t>
      </w:r>
      <w:r>
        <w:rPr>
          <w:i/>
          <w:u w:val="single"/>
        </w:rPr>
        <w:t xml:space="preserve">tangent </w:t>
      </w:r>
      <w:r>
        <w:rPr>
          <w:u w:val="single"/>
        </w:rPr>
        <w:t xml:space="preserve">cylindrical </w:t>
      </w:r>
      <w:r>
        <w:t xml:space="preserve">projection, which merely touches the globe, has only one. [23] Some projections, called </w:t>
      </w:r>
      <w:r>
        <w:rPr>
          <w:i/>
        </w:rPr>
        <w:t xml:space="preserve">equivalent </w:t>
      </w:r>
      <w:r>
        <w:t xml:space="preserve">or </w:t>
      </w:r>
      <w:proofErr w:type="gramStart"/>
      <w:r>
        <w:rPr>
          <w:i/>
        </w:rPr>
        <w:t>equal-area</w:t>
      </w:r>
      <w:proofErr w:type="gramEnd"/>
      <w:r>
        <w:t xml:space="preserve"> … </w:t>
      </w:r>
      <w:proofErr w:type="gramStart"/>
      <w:r>
        <w:t>Thus</w:t>
      </w:r>
      <w:proofErr w:type="gramEnd"/>
      <w:r>
        <w:t xml:space="preserve"> if South America is eight times larger than Greenland on the globe, it will also be eight times larger on an equal-area projection. </w:t>
      </w:r>
      <w:r>
        <w:rPr>
          <w:u w:val="single"/>
        </w:rPr>
        <w:t xml:space="preserve">… sinusoidal projection </w:t>
      </w:r>
      <w:r>
        <w:t xml:space="preserve">… maintains true scale along the equator. [24] As equal-area projections preserve </w:t>
      </w:r>
      <w:proofErr w:type="gramStart"/>
      <w:r>
        <w:t>areas,</w:t>
      </w:r>
      <w:proofErr w:type="gramEnd"/>
      <w:r>
        <w:t xml:space="preserve"> </w:t>
      </w:r>
      <w:r>
        <w:rPr>
          <w:i/>
        </w:rPr>
        <w:t xml:space="preserve">conformal </w:t>
      </w:r>
      <w:r>
        <w:t>projections preserve local angles. [</w:t>
      </w:r>
      <w:proofErr w:type="gramStart"/>
      <w:r>
        <w:t>27]…</w:t>
      </w:r>
      <w:proofErr w:type="gramEnd"/>
      <w:r>
        <w:t xml:space="preserve"> oblique azimuthal </w:t>
      </w:r>
      <w:r>
        <w:rPr>
          <w:i/>
        </w:rPr>
        <w:t xml:space="preserve">equidistant </w:t>
      </w:r>
      <w:r>
        <w:t>projection … shows true distance and directional relationships for shortest-distance great-circle routes</w:t>
      </w:r>
    </w:p>
    <w:p w14:paraId="5E1BA4DC" w14:textId="77777777" w:rsidR="00076776" w:rsidRDefault="00000000">
      <w:r>
        <w:t>26-27</w:t>
      </w:r>
      <w:r>
        <w:rPr>
          <w:b/>
        </w:rPr>
        <w:t>: rhumb line or loxodrome</w:t>
      </w:r>
      <w:r>
        <w:t xml:space="preserve">: On the Mercator map, for instance, a straight line is a </w:t>
      </w:r>
      <w:r>
        <w:rPr>
          <w:i/>
        </w:rPr>
        <w:t xml:space="preserve">rhumb line </w:t>
      </w:r>
      <w:r>
        <w:t xml:space="preserve">or </w:t>
      </w:r>
      <w:r>
        <w:rPr>
          <w:i/>
        </w:rPr>
        <w:t>loxodrome</w:t>
      </w:r>
      <w:r>
        <w:t xml:space="preserve">, which shows an easily followed route of constant bearing. A navigator at A can draw a straight line to B, measure with a protractor the angle between this rhumb line and the </w:t>
      </w:r>
      <w:proofErr w:type="gramStart"/>
      <w:r>
        <w:t>meridian, and</w:t>
      </w:r>
      <w:proofErr w:type="gramEnd"/>
      <w:r>
        <w:t xml:space="preserve"> use this bearing and a corrected compass to sail or fly from A to B. [117] … lines of constant geographic direction. (If the navigator’s compass shows true north rather than magnetic north, rhumb lines can be called lines of constant compass direction.)</w:t>
      </w:r>
    </w:p>
    <w:p w14:paraId="65906E13" w14:textId="77777777" w:rsidR="00076776" w:rsidRDefault="00000000">
      <w:r>
        <w:t xml:space="preserve">28: </w:t>
      </w:r>
      <w:r>
        <w:rPr>
          <w:b/>
        </w:rPr>
        <w:t>cartograms</w:t>
      </w:r>
      <w:r>
        <w:t xml:space="preserve">: Among the more highly tailored map projections are </w:t>
      </w:r>
      <w:r>
        <w:rPr>
          <w:i/>
        </w:rPr>
        <w:t>cartograms</w:t>
      </w:r>
      <w:r>
        <w:t xml:space="preserve">, which portray such relative measures as travel time, transport cost, and population size. </w:t>
      </w:r>
      <w:r>
        <w:rPr>
          <w:i/>
        </w:rPr>
        <w:t>… distance cartograms</w:t>
      </w:r>
      <w:r>
        <w:t xml:space="preserve"> </w:t>
      </w:r>
      <w:r>
        <w:rPr>
          <w:i/>
        </w:rPr>
        <w:t>… area cartogram</w:t>
      </w:r>
      <w:r>
        <w:t xml:space="preserve"> … Yet traditionalist cartographers who scorn cartograms as foolish, inaccurate cartoons ignore the power of map distortions to address a wide array of communicational and analytical needs.</w:t>
      </w:r>
    </w:p>
    <w:p w14:paraId="70DBCD27" w14:textId="77777777" w:rsidR="00076776" w:rsidRDefault="00000000">
      <w:r>
        <w:t xml:space="preserve">29: </w:t>
      </w:r>
      <w:r>
        <w:rPr>
          <w:b/>
        </w:rPr>
        <w:t>map symbols</w:t>
      </w:r>
      <w:r>
        <w:t xml:space="preserve">: @WIAM@Sign … serve as a graphic code for storing and retrieving data in a two-dimensional geographic framework. This code can be simple and straightforward, as on a route map drawn to show a new neighbor how to find the local elementary school: a few simple lines, labels, and </w:t>
      </w:r>
      <w:proofErr w:type="spellStart"/>
      <w:r>
        <w:t>Xs</w:t>
      </w:r>
      <w:proofErr w:type="spellEnd"/>
      <w:r>
        <w:t xml:space="preserve"> representing selected streets and landmarks should do. Labels such as “Elm St.” and “Fire Dept.” </w:t>
      </w:r>
      <w:r>
        <w:rPr>
          <w:u w:val="single"/>
        </w:rPr>
        <w:t>tie the map to reality</w:t>
      </w:r>
      <w:r>
        <w:t xml:space="preserve"> and make a key or legend unnecessary. [30] … symbols must tell the user what’s relevant and what isn’t.</w:t>
      </w:r>
    </w:p>
    <w:p w14:paraId="3B5A53D8" w14:textId="77777777" w:rsidR="00076776" w:rsidRDefault="00000000">
      <w:pPr>
        <w:ind w:left="720"/>
      </w:pPr>
      <w:r>
        <w:t xml:space="preserve">Appreciating the logic of map symbols begins with understanding </w:t>
      </w:r>
      <w:r>
        <w:rPr>
          <w:b/>
        </w:rPr>
        <w:t xml:space="preserve">the three geometric categories of map symbols </w:t>
      </w:r>
      <w:r>
        <w:t xml:space="preserve">and the six visual variables… Symbols on flat maps are either </w:t>
      </w:r>
      <w:r>
        <w:rPr>
          <w:u w:val="single"/>
        </w:rPr>
        <w:t>point symbols</w:t>
      </w:r>
      <w:r>
        <w:t xml:space="preserve">, </w:t>
      </w:r>
      <w:r>
        <w:rPr>
          <w:u w:val="single"/>
        </w:rPr>
        <w:t>line symbols</w:t>
      </w:r>
      <w:r>
        <w:t xml:space="preserve">, or </w:t>
      </w:r>
      <w:r>
        <w:rPr>
          <w:u w:val="single"/>
        </w:rPr>
        <w:t>area symbols</w:t>
      </w:r>
      <w:r>
        <w:t xml:space="preserve">. Road maps and most other general-purpose maps use combinations of all three: point symbols to mark the locations of landmarks and villages, line symbols to show the lengths and shapes of rivers and roads, and area symbols to depict the form and size of state parks and major cities. … </w:t>
      </w:r>
      <w:r>
        <w:rPr>
          <w:b/>
        </w:rPr>
        <w:t>six visual variables</w:t>
      </w:r>
      <w:r>
        <w:t xml:space="preserve"> … size, shape, </w:t>
      </w:r>
      <w:proofErr w:type="spellStart"/>
      <w:r>
        <w:t>graytone</w:t>
      </w:r>
      <w:proofErr w:type="spellEnd"/>
      <w:r>
        <w:t xml:space="preserve"> value, texture, orientation, hue [see image on p. 31].</w:t>
      </w:r>
    </w:p>
    <w:p w14:paraId="134F56EB" w14:textId="77777777" w:rsidR="00076776" w:rsidRDefault="00000000">
      <w:r>
        <w:t xml:space="preserve">31: </w:t>
      </w:r>
      <w:r>
        <w:rPr>
          <w:b/>
        </w:rPr>
        <w:t>statistical maps</w:t>
      </w:r>
      <w:r>
        <w:t xml:space="preserve">: … which portray numerical data, commonly rely on a single type of symbol, such as dots that each denote ten thousand people or </w:t>
      </w:r>
      <w:proofErr w:type="spellStart"/>
      <w:r>
        <w:t>graytones</w:t>
      </w:r>
      <w:proofErr w:type="spellEnd"/>
      <w:r>
        <w:t xml:space="preserve"> representing election results by county. </w:t>
      </w:r>
    </w:p>
    <w:p w14:paraId="65C639DB" w14:textId="77777777" w:rsidR="00076776" w:rsidRDefault="00000000">
      <w:r>
        <w:t xml:space="preserve">37: </w:t>
      </w:r>
      <w:r>
        <w:rPr>
          <w:b/>
        </w:rPr>
        <w:t>graphic hierarchy</w:t>
      </w:r>
      <w:r>
        <w:t xml:space="preserve">. </w:t>
      </w:r>
    </w:p>
    <w:p w14:paraId="00A66127" w14:textId="77777777" w:rsidR="00076776" w:rsidRDefault="00000000">
      <w:r>
        <w:t xml:space="preserve">147: </w:t>
      </w:r>
      <w:r>
        <w:rPr>
          <w:b/>
        </w:rPr>
        <w:t>Western values (of cartography)</w:t>
      </w:r>
      <w:r>
        <w:t>: our nation’s [USA] topographic maps reflect widely shared Western values (geometric precision, consistency, completeness, cost-effectiveness) as well as the professional subcultures of mapmaker-bureaucrats and, more recently, online map providers.</w:t>
      </w:r>
    </w:p>
    <w:p w14:paraId="09E9B970" w14:textId="77777777" w:rsidR="00076776" w:rsidRDefault="00076776"/>
    <w:p w14:paraId="667BADDE" w14:textId="77777777" w:rsidR="00076776" w:rsidRDefault="00000000">
      <w:pPr>
        <w:pStyle w:val="Heading2"/>
      </w:pPr>
      <w:r>
        <w:lastRenderedPageBreak/>
        <w:t>Core quotes</w:t>
      </w:r>
    </w:p>
    <w:p w14:paraId="31C9FB1F" w14:textId="77777777" w:rsidR="00076776" w:rsidRDefault="00076776"/>
    <w:p w14:paraId="2CB3B1D9" w14:textId="77777777" w:rsidR="00076776" w:rsidRDefault="00000000">
      <w:r>
        <w:t>15 @Map@WIAM@CGaze@CultBias</w:t>
      </w:r>
    </w:p>
    <w:p w14:paraId="04BAA6A8" w14:textId="77777777" w:rsidR="00076776" w:rsidRDefault="00000000">
      <w:pPr>
        <w:ind w:left="720"/>
      </w:pPr>
      <w:r>
        <w:t xml:space="preserve">Maps have three basic attributes: scale, projection, and symbolization. </w:t>
      </w:r>
      <w:r>
        <w:rPr>
          <w:b/>
        </w:rPr>
        <w:t>Each element is a source of distortion</w:t>
      </w:r>
      <w:r>
        <w:t xml:space="preserve">. As a group, they describe the essence of the map’s possibilities and limitations. </w:t>
      </w:r>
    </w:p>
    <w:p w14:paraId="07981FD3" w14:textId="77777777" w:rsidR="00076776" w:rsidRDefault="00076776"/>
    <w:p w14:paraId="72099C3E" w14:textId="77777777" w:rsidR="00076776" w:rsidRDefault="00000000">
      <w:r>
        <w:t xml:space="preserve">K? </w:t>
      </w:r>
      <w:proofErr w:type="gramStart"/>
      <w:r>
        <w:t>In light of</w:t>
      </w:r>
      <w:proofErr w:type="gramEnd"/>
      <w:r>
        <w:t xml:space="preserve"> Tupaia’s map, does this reductionism about what maps are follow? </w:t>
      </w:r>
      <w:proofErr w:type="gramStart"/>
      <w:r>
        <w:t>Is</w:t>
      </w:r>
      <w:proofErr w:type="gramEnd"/>
      <w:r>
        <w:t xml:space="preserve"> there cultural biases in M’s assertion?  </w:t>
      </w:r>
    </w:p>
    <w:p w14:paraId="75BBF85F" w14:textId="77777777" w:rsidR="00076776" w:rsidRDefault="00076776"/>
    <w:p w14:paraId="47344C79" w14:textId="77777777" w:rsidR="00076776" w:rsidRDefault="00000000">
      <w:pPr>
        <w:rPr>
          <w:highlight w:val="green"/>
        </w:rPr>
      </w:pPr>
      <w:r>
        <w:rPr>
          <w:highlight w:val="green"/>
        </w:rPr>
        <w:t>17 @Map@Reason@</w:t>
      </w:r>
      <w:proofErr w:type="gramStart"/>
      <w:r>
        <w:rPr>
          <w:highlight w:val="green"/>
        </w:rPr>
        <w:t>K?@</w:t>
      </w:r>
      <w:proofErr w:type="gramEnd"/>
      <w:r>
        <w:rPr>
          <w:highlight w:val="green"/>
        </w:rPr>
        <w:t>SciEnv@WIAM</w:t>
      </w:r>
    </w:p>
    <w:p w14:paraId="3C669074" w14:textId="77777777" w:rsidR="00076776" w:rsidRDefault="00000000">
      <w:r>
        <w:t xml:space="preserve">Example of taking scale for granted as </w:t>
      </w:r>
      <w:r>
        <w:rPr>
          <w:i/>
        </w:rPr>
        <w:t>truth</w:t>
      </w:r>
      <w:r>
        <w:t xml:space="preserve">, to the extant the one could argue that “scale” is a manifestation of @SciEnv in cartographic contexts? In this sense, a map, with its “cartographic seduction” acts as kind of ontological succubus, luring the Western viewer into the calming embrace of “the known,” the god’s-eye view, the state of </w:t>
      </w:r>
      <w:r>
        <w:rPr>
          <w:i/>
        </w:rPr>
        <w:t>being placed</w:t>
      </w:r>
      <w:r>
        <w:t>.</w:t>
      </w:r>
    </w:p>
    <w:p w14:paraId="45C08B75" w14:textId="77777777" w:rsidR="00076776" w:rsidRDefault="00076776"/>
    <w:p w14:paraId="06B2CEC4" w14:textId="77777777" w:rsidR="00076776" w:rsidRDefault="00000000">
      <w:pPr>
        <w:ind w:left="720"/>
      </w:pPr>
      <w:r>
        <w:t xml:space="preserve">Sometimes a mapmaker might say “equals” instead of “represents.” Although technically absurd, “equals” in these cases might </w:t>
      </w:r>
      <w:proofErr w:type="gramStart"/>
      <w:r>
        <w:t>more kindly</w:t>
      </w:r>
      <w:proofErr w:type="gramEnd"/>
      <w:r>
        <w:t xml:space="preserve"> be considered a shorthand for “is the equivalent of.” Yet the skeptic rightly warns of </w:t>
      </w:r>
      <w:r>
        <w:rPr>
          <w:b/>
        </w:rPr>
        <w:t>cartographic seduction</w:t>
      </w:r>
      <w:r>
        <w:t>, for “</w:t>
      </w:r>
      <w:proofErr w:type="gramStart"/>
      <w:r>
        <w:t>one inch</w:t>
      </w:r>
      <w:proofErr w:type="gramEnd"/>
      <w:r>
        <w:t xml:space="preserve"> equals one mile” not only robs the user of a subtle reminder that the map is merely a symbolic model but also falsely suggests that the mapped image is reality. As later chapters show, </w:t>
      </w:r>
      <w:r>
        <w:rPr>
          <w:b/>
        </w:rPr>
        <w:t>this delusion can be dangerous</w:t>
      </w:r>
      <w:r>
        <w:t xml:space="preserve">. [27] </w:t>
      </w:r>
      <w:r>
        <w:rPr>
          <w:b/>
        </w:rPr>
        <w:t>Map projections distort five geographic relationships</w:t>
      </w:r>
      <w:r>
        <w:t>: areas, angles, gross shapes, distances, and directions.</w:t>
      </w:r>
    </w:p>
    <w:p w14:paraId="14B2DEB7" w14:textId="77777777" w:rsidR="00076776" w:rsidRDefault="00076776"/>
    <w:p w14:paraId="2D16DE16" w14:textId="77777777" w:rsidR="00076776" w:rsidRDefault="00000000">
      <w:r>
        <w:t>35 @CultBias@Map@Ontol@WIAM@Diss@FFessay</w:t>
      </w:r>
    </w:p>
    <w:p w14:paraId="6152B008" w14:textId="77777777" w:rsidR="00076776" w:rsidRDefault="00000000">
      <w:r>
        <w:t xml:space="preserve">Supports my notion that </w:t>
      </w:r>
      <w:r>
        <w:rPr>
          <w:b/>
        </w:rPr>
        <w:t>maps are ontological objects</w:t>
      </w:r>
      <w:r>
        <w:t xml:space="preserve">, and their components are decidedly culturally and educationally specific: </w:t>
      </w:r>
    </w:p>
    <w:p w14:paraId="3C380C08" w14:textId="77777777" w:rsidR="00076776" w:rsidRDefault="00000000">
      <w:pPr>
        <w:ind w:left="720"/>
      </w:pPr>
      <w:r>
        <w:t xml:space="preserve">Alphabetic symbols also use form to promote decoding, as with common abbreviations (“PO” for post office), </w:t>
      </w:r>
      <w:proofErr w:type="gramStart"/>
      <w:r>
        <w:t>place-names</w:t>
      </w:r>
      <w:proofErr w:type="gramEnd"/>
      <w:r>
        <w:t xml:space="preserve"> (“Baltimore”), and labels describing the type of feature (“Union Pacific Railroad”). Color conventions allow map symbols to exploit idealized associations of lakes and streams with a bright, </w:t>
      </w:r>
      <w:proofErr w:type="spellStart"/>
      <w:r>
        <w:t>nonmurky</w:t>
      </w:r>
      <w:proofErr w:type="spellEnd"/>
      <w:r>
        <w:t xml:space="preserve"> blue and wooded areas with a wholesome, springlike green. … Physical-political reference maps found in atlases and on schoolroom walls reinforce the convention of </w:t>
      </w:r>
      <w:r>
        <w:rPr>
          <w:i/>
        </w:rPr>
        <w:t>hypsometric tints</w:t>
      </w:r>
      <w:r>
        <w:t>, a series of color-coded elevation symbols ranging from greens to yellows to browns. Although highly useful for those who know the code, elevation tints invite misinterpretation among the unwary. … map symbols can lead naive users to wrong conclusions.</w:t>
      </w:r>
    </w:p>
    <w:p w14:paraId="4D3262AD" w14:textId="77777777" w:rsidR="00076776" w:rsidRDefault="00076776">
      <w:pPr>
        <w:ind w:left="720"/>
      </w:pPr>
    </w:p>
    <w:p w14:paraId="21006389" w14:textId="77777777" w:rsidR="00076776" w:rsidRDefault="00000000">
      <w:pPr>
        <w:rPr>
          <w:highlight w:val="green"/>
        </w:rPr>
      </w:pPr>
      <w:r>
        <w:rPr>
          <w:highlight w:val="green"/>
        </w:rPr>
        <w:t>112 @Map@Pow@CogImp@ManDest@TechDest@WIAM</w:t>
      </w:r>
    </w:p>
    <w:p w14:paraId="26F74CB2" w14:textId="77777777" w:rsidR="00076776" w:rsidRDefault="00000000">
      <w:pPr>
        <w:ind w:left="720"/>
      </w:pPr>
      <w:r>
        <w:t>The map is the perfect symbol of the state. … you could simply take a sheet of paper, plot some cities, roads, and physical features, draw a heavy, distinct boundary around as much territory as you dared claim, color it in, add a name—perhaps reinforced with the impressive prefix “Republic of”—and presto: you were now the leader of a new sovereign, autonomous country. Should anyone doubt it, you merely had to point to the map</w:t>
      </w:r>
      <w:r>
        <w:rPr>
          <w:b/>
        </w:rPr>
        <w:t xml:space="preserve">. Not only was your new state on paper, </w:t>
      </w:r>
      <w:proofErr w:type="gramStart"/>
      <w:r>
        <w:rPr>
          <w:b/>
        </w:rPr>
        <w:t>it was</w:t>
      </w:r>
      <w:proofErr w:type="gramEnd"/>
      <w:r>
        <w:rPr>
          <w:b/>
        </w:rPr>
        <w:t xml:space="preserve"> on a map, so it had to be real. Today’s would-be sovereign could do the same with graphics software.</w:t>
      </w:r>
    </w:p>
    <w:p w14:paraId="78461EE7" w14:textId="77777777" w:rsidR="00076776" w:rsidRDefault="00076776"/>
    <w:p w14:paraId="351C86BE" w14:textId="77777777" w:rsidR="00076776" w:rsidRDefault="00000000">
      <w:r>
        <w:lastRenderedPageBreak/>
        <w:t>114 @Map@SettState@DoD@War@L?</w:t>
      </w:r>
    </w:p>
    <w:p w14:paraId="226A0669" w14:textId="77777777" w:rsidR="00076776" w:rsidRDefault="00000000">
      <w:pPr>
        <w:ind w:left="720"/>
      </w:pPr>
      <w:r>
        <w:t xml:space="preserve">That maps drawn up by diplomats and generals became a political reality lends an unintended irony to the aphorism that the pen is mightier than the sword. // Nowhere is the map more a national symbol and an intellectual weapon than in </w:t>
      </w:r>
      <w:r>
        <w:rPr>
          <w:b/>
        </w:rPr>
        <w:t>disputes over territory</w:t>
      </w:r>
      <w:r>
        <w:t xml:space="preserve">. When nation A and nation B both claim territory C, they usually are </w:t>
      </w:r>
      <w:r>
        <w:rPr>
          <w:b/>
        </w:rPr>
        <w:t>at war cartographically as well</w:t>
      </w:r>
      <w:r>
        <w:t>.</w:t>
      </w:r>
    </w:p>
    <w:p w14:paraId="5884A663" w14:textId="77777777" w:rsidR="00076776" w:rsidRDefault="00076776"/>
    <w:p w14:paraId="73EFFF4D" w14:textId="77777777" w:rsidR="00076776" w:rsidRDefault="00000000">
      <w:r>
        <w:t xml:space="preserve">133-34 </w:t>
      </w:r>
      <w:proofErr w:type="spellStart"/>
      <w:r>
        <w:t>Map@Topo@Pow@SettState@Motherlode</w:t>
      </w:r>
      <w:proofErr w:type="spellEnd"/>
      <w:r>
        <w:t>!</w:t>
      </w:r>
    </w:p>
    <w:p w14:paraId="592216EC" w14:textId="77777777" w:rsidR="00076776" w:rsidRDefault="00000000">
      <w:pPr>
        <w:ind w:left="720"/>
      </w:pPr>
      <w:r>
        <w:rPr>
          <w:highlight w:val="red"/>
        </w:rPr>
        <w:t xml:space="preserve">Naming can be a powerful weapon of the cartographic propagandist. Place-names, or </w:t>
      </w:r>
      <w:r>
        <w:rPr>
          <w:i/>
          <w:highlight w:val="red"/>
        </w:rPr>
        <w:t>toponyms</w:t>
      </w:r>
      <w:r>
        <w:t xml:space="preserve">, not only make anonymous locations significant elements of the cultural landscape but also offer strong suggestions about a region’s character and ethnic allegiance. Although many maps not intending a hint of propaganda might insult or befuddle local inhabitants by translating a toponym from one language to another (as from Trois Rivières to Three Rivers) or by attempting a phonetic transliteration from one language to another (as from Moskva to Moscow) or even from one alphabet to another (as in Peking or Beijing), </w:t>
      </w:r>
      <w:r>
        <w:rPr>
          <w:b/>
        </w:rPr>
        <w:t>skillful propagandists have often altered map viewers’ impressions of multiethnic cultural landscapes by suppressing the toponymic influence of one group and inflating that of another</w:t>
      </w:r>
      <w:r>
        <w:t xml:space="preserve">. [135] Local social activists can also use the suggestive power of </w:t>
      </w:r>
      <w:proofErr w:type="gramStart"/>
      <w:r>
        <w:t>place-names</w:t>
      </w:r>
      <w:proofErr w:type="gramEnd"/>
      <w:r>
        <w:t xml:space="preserve"> to make a point cartographically. … Like guns and lacrosse sticks, maps can be good or bad, depending on who’s holding them, who they’re aimed at, how they’re used, and why.</w:t>
      </w:r>
    </w:p>
    <w:p w14:paraId="0BD62F6F" w14:textId="77777777" w:rsidR="00076776" w:rsidRDefault="00076776"/>
    <w:p w14:paraId="32E664AE" w14:textId="77777777" w:rsidR="00076776" w:rsidRDefault="00000000">
      <w:r>
        <w:t>151 @Map@WestDev@Capital@War@Pow@Ontol</w:t>
      </w:r>
    </w:p>
    <w:p w14:paraId="4BB13942" w14:textId="77777777" w:rsidR="00076776" w:rsidRDefault="00000000">
      <w:pPr>
        <w:ind w:left="720"/>
      </w:pPr>
      <w:r>
        <w:t xml:space="preserve">Cartographic guidelines have deep roots in military mapping. Founded in 1879, the USGS inherited mapping personnel from the four great post– Civil War surveys of the American West. … Surveyors and engineers typically had some military experience, and their mapping methods reflected techniques taught at West Point and used in the Union Army and the Corps of Engineers. … Perhaps the most subtle example of military influence on civilian topographic maps is the green tint representing woodland. </w:t>
      </w:r>
      <w:r>
        <w:rPr>
          <w:b/>
        </w:rPr>
        <w:t>Whether an area with trees is colored green reflects neither botanical nor ecological criteria but a tactical necessity.</w:t>
      </w:r>
    </w:p>
    <w:p w14:paraId="68EE6ED8" w14:textId="77777777" w:rsidR="00076776" w:rsidRDefault="00076776"/>
    <w:p w14:paraId="1E1F3474" w14:textId="77777777" w:rsidR="00076776" w:rsidRDefault="00000000">
      <w:r>
        <w:t xml:space="preserve">K? What evidence of militarism can we find in early VI and BC maps? </w:t>
      </w:r>
    </w:p>
    <w:p w14:paraId="2E2C13C5" w14:textId="77777777" w:rsidR="00076776" w:rsidRDefault="00076776"/>
    <w:p w14:paraId="6BFF26EF" w14:textId="77777777" w:rsidR="00076776" w:rsidRDefault="00000000">
      <w:pPr>
        <w:rPr>
          <w:highlight w:val="green"/>
        </w:rPr>
      </w:pPr>
      <w:r>
        <w:rPr>
          <w:highlight w:val="green"/>
        </w:rPr>
        <w:t>155 @Topo@Offic@Map@Pow@SettState@Racist</w:t>
      </w:r>
    </w:p>
    <w:p w14:paraId="36858BC5" w14:textId="77777777" w:rsidR="00076776" w:rsidRDefault="00000000">
      <w:pPr>
        <w:ind w:left="720"/>
      </w:pPr>
      <w:r>
        <w:t xml:space="preserve">Well before the multicultural concept of hate speech, mapmakers were aware that </w:t>
      </w:r>
      <w:proofErr w:type="gramStart"/>
      <w:r>
        <w:t>place-names</w:t>
      </w:r>
      <w:proofErr w:type="gramEnd"/>
      <w:r>
        <w:t xml:space="preserve"> like “Niger [sic] Creek” (fig. 10.4, left)—even if misspelled—were racially offensive. Naively, if not innocently, late- nineteenth- and early-twentieth-century topographers striving for accuracy recorded these place-names as matter-of-fact representations of a geography authored by a politically incorrect generation of early Euro-American settlers, who might have intended no overt ill will in naming a feature Chink Creek, Dago Pass, Jap Gulch, or Nigger Lake. After World War II, as state legislatures and the US Congress banned racial discrimination in schools, public places, housing, and hiring, racial epithets—at least in official, public discourse—began to reflect more harshly on the speaker than on the target. And </w:t>
      </w:r>
      <w:proofErr w:type="gramStart"/>
      <w:r>
        <w:t>so</w:t>
      </w:r>
      <w:proofErr w:type="gramEnd"/>
      <w:r>
        <w:t xml:space="preserve"> the nation’s large-scale </w:t>
      </w:r>
      <w:r>
        <w:lastRenderedPageBreak/>
        <w:t>maps became a time bomb of outrage and embarrassment, with cartographic bureaucrats reluctant to act because of their own rigid rules.</w:t>
      </w:r>
    </w:p>
    <w:p w14:paraId="3C4FE274" w14:textId="77777777" w:rsidR="00076776" w:rsidRDefault="00076776"/>
    <w:p w14:paraId="5FAF4678" w14:textId="77777777" w:rsidR="00076776" w:rsidRDefault="00000000">
      <w:r>
        <w:t>166 @GIS@Map@Pow@War</w:t>
      </w:r>
    </w:p>
    <w:p w14:paraId="622F4AA0" w14:textId="77777777" w:rsidR="00076776" w:rsidRDefault="00000000">
      <w:pPr>
        <w:ind w:left="720"/>
      </w:pPr>
      <w:r>
        <w:t xml:space="preserve">The relationship is more symbiotic than economic insofar as online mapping is an outgrowth of the Census Bureau’s development of a digital street map, originally intended to relate household addresses to tabulation areas called </w:t>
      </w:r>
      <w:r>
        <w:rPr>
          <w:i/>
        </w:rPr>
        <w:t>census tracts</w:t>
      </w:r>
      <w:r>
        <w:t xml:space="preserve">. The private sector then added address-locator and route-following services. Our current mapping culture thus reflects two traditions: free access to publicly funded spatial data and advertiser support of private-sector information services—the latter tradition pioneered by newspapers and the broadcast media. </w:t>
      </w:r>
      <w:r>
        <w:rPr>
          <w:b/>
        </w:rPr>
        <w:t>Much of the technology that supports online mapping can be traced to federal support for digital cartography, particularly for national defense.</w:t>
      </w:r>
      <w:r>
        <w:t xml:space="preserve"> … Concern for privacy, as a manifestation of culture and politics, is setting a limit to topographic detail.</w:t>
      </w:r>
    </w:p>
    <w:p w14:paraId="4B4EBE95" w14:textId="77777777" w:rsidR="00076776" w:rsidRDefault="00076776">
      <w:pPr>
        <w:ind w:left="720"/>
      </w:pPr>
    </w:p>
    <w:p w14:paraId="26F22788" w14:textId="77777777" w:rsidR="00076776" w:rsidRDefault="00000000">
      <w:pPr>
        <w:pStyle w:val="Heading2"/>
      </w:pPr>
      <w:r>
        <w:t>Secondary quotes</w:t>
      </w:r>
    </w:p>
    <w:p w14:paraId="32E3583C" w14:textId="77777777" w:rsidR="00076776" w:rsidRDefault="00000000">
      <w:r>
        <w:t xml:space="preserve">19 On map projections: Cartographers wisely avoid decorating world maps with graphic scales, which might encourage this type of abuse. / 24 @Map No flat map can match the globe in preserving areas, angles, gross shapes, distances, and directions, and any map projection is a compromised solution. / 33 “A poor match between the data and the visual variable can frustrate or confuse the map user. … Contrasting hues, </w:t>
      </w:r>
      <w:proofErr w:type="gramStart"/>
      <w:r>
        <w:t>however</w:t>
      </w:r>
      <w:proofErr w:type="gramEnd"/>
      <w:r>
        <w:t xml:space="preserve"> visually dramatic, are not an appropriate substitute for a logical series of easily ordered </w:t>
      </w:r>
      <w:proofErr w:type="spellStart"/>
      <w:r>
        <w:t>graytones</w:t>
      </w:r>
      <w:proofErr w:type="spellEnd"/>
      <w:r>
        <w:t xml:space="preserve">.” See </w:t>
      </w:r>
      <w:r>
        <w:rPr>
          <w:b/>
        </w:rPr>
        <w:t xml:space="preserve">examples of </w:t>
      </w:r>
      <w:r>
        <w:rPr>
          <w:b/>
          <w:i/>
        </w:rPr>
        <w:t xml:space="preserve">graduated point symbols </w:t>
      </w:r>
      <w:r>
        <w:rPr>
          <w:b/>
        </w:rPr>
        <w:t xml:space="preserve">and a </w:t>
      </w:r>
      <w:r>
        <w:rPr>
          <w:b/>
          <w:i/>
        </w:rPr>
        <w:t>choropleth map</w:t>
      </w:r>
      <w:r>
        <w:rPr>
          <w:b/>
        </w:rPr>
        <w:t xml:space="preserve"> </w:t>
      </w:r>
      <w:r>
        <w:t>on p. 34.</w:t>
      </w:r>
      <w:r>
        <w:rPr>
          <w:i/>
        </w:rPr>
        <w:t xml:space="preserve"> </w:t>
      </w:r>
      <w:r>
        <w:t xml:space="preserve">/ 113 … map-as-symbol-of-the-state concept seems far-fetched, consider the national atlases that England and France produced in the late sixteenth century. Elizabeth I of England commissioned Christopher Saxton to carry out a countrywide topographic survey of England and Wales and to publish the maps in an elaborate, hand-colored atlas. / 114 But between 1940 and 1980 the </w:t>
      </w:r>
      <w:r>
        <w:rPr>
          <w:b/>
        </w:rPr>
        <w:t xml:space="preserve">number of national atlases increased </w:t>
      </w:r>
      <w:r>
        <w:t xml:space="preserve">from fewer than twenty to more than eighty, as former </w:t>
      </w:r>
      <w:r>
        <w:rPr>
          <w:b/>
        </w:rPr>
        <w:t>colonies turned to cartography as a tool</w:t>
      </w:r>
      <w:r>
        <w:t xml:space="preserve"> of both economic development and political identity. / 115 Cartographic </w:t>
      </w:r>
      <w:proofErr w:type="gramStart"/>
      <w:r>
        <w:t>neutrality</w:t>
      </w:r>
      <w:proofErr w:type="gramEnd"/>
      <w:r>
        <w:t xml:space="preserve"> can be difficult … Consider, for example, the disputed state of Jammu and Kashmir, lying between India, Pakistan, and China. Both India and Pakistan claimed Kashmir, once a separate monarchy, and went to war over the area in August 1965. / 116 … for years publishers have found it difficult to export the same books on South Asian geography to both India and Pakistan. / Postage stamps bearing maps are also useful propaganda tools for emergent nations and ambitious revolutionary movements. / 117 UNESCO (the United Nations Educational, Scientific, and Cultural Organization) / No projection has been as abused in the pursuit of size distortion as that devised by sixteenth-century atlas publisher and cartographer Gerardus Mercator. Designed specifically to aid navigators, the Mercator projection vastly enlarges poleward areas so that straight lines can serve as </w:t>
      </w:r>
      <w:r>
        <w:rPr>
          <w:i/>
        </w:rPr>
        <w:t>loxodromes</w:t>
      </w:r>
      <w:r>
        <w:t xml:space="preserve">, or </w:t>
      </w:r>
      <w:r>
        <w:rPr>
          <w:i/>
        </w:rPr>
        <w:t>rhumb lines</w:t>
      </w:r>
      <w:r>
        <w:t xml:space="preserve"> / 120 the Gall-Peters projection … Peters held a press conference to condemn the Mercator worldview (as well as all nonrectangular projections) and to tout his own projection’s “fidelity of area” and more accurate, “more egalitarian” representation of the globe. / Examples: </w:t>
      </w:r>
      <w:r>
        <w:rPr>
          <w:b/>
        </w:rPr>
        <w:t>Nazi propaganda maps start on p. 122</w:t>
      </w:r>
      <w:r>
        <w:t xml:space="preserve"> / Section </w:t>
      </w:r>
      <w:r>
        <w:rPr>
          <w:b/>
        </w:rPr>
        <w:t xml:space="preserve">Arrows, Circles, </w:t>
      </w:r>
      <w:proofErr w:type="gramStart"/>
      <w:r>
        <w:rPr>
          <w:b/>
        </w:rPr>
        <w:t>Place-Names</w:t>
      </w:r>
      <w:proofErr w:type="gramEnd"/>
      <w:r>
        <w:rPr>
          <w:b/>
        </w:rPr>
        <w:t>, and Other Cartographic Assault Weapons starts on p. 129 /</w:t>
      </w:r>
      <w:r>
        <w:t xml:space="preserve"> 132 @War@Map Maps can even make </w:t>
      </w:r>
      <w:r>
        <w:rPr>
          <w:b/>
        </w:rPr>
        <w:t xml:space="preserve">nuclear war </w:t>
      </w:r>
      <w:r>
        <w:t xml:space="preserve">appear survivable. / 103 See this hilariously accurate list on what developers do with maps </w:t>
      </w:r>
      <w:proofErr w:type="gramStart"/>
      <w:r>
        <w:t>in order to</w:t>
      </w:r>
      <w:proofErr w:type="gramEnd"/>
      <w:r>
        <w:t xml:space="preserve"> persuade: </w:t>
      </w:r>
      <w:r>
        <w:rPr>
          <w:b/>
        </w:rPr>
        <w:t xml:space="preserve">Tricks for Polishing the Cartographic Image // </w:t>
      </w:r>
      <w:r>
        <w:t xml:space="preserve">Over time, developers have identified </w:t>
      </w:r>
      <w:proofErr w:type="gramStart"/>
      <w:r>
        <w:t>a number of</w:t>
      </w:r>
      <w:proofErr w:type="gramEnd"/>
      <w:r>
        <w:t xml:space="preserve"> ways to play down the adverse </w:t>
      </w:r>
      <w:r>
        <w:lastRenderedPageBreak/>
        <w:t>impact of a proposed project and enhance its visual appearance and presumed benefits. These tricks work best before a town zoning or planning board and are least effective in state or federal court. [see list on pp. 103-04] / 147 &gt; United States Geological Survey (</w:t>
      </w:r>
      <w:r>
        <w:rPr>
          <w:b/>
        </w:rPr>
        <w:t>USGS</w:t>
      </w:r>
      <w:r>
        <w:t xml:space="preserve">) as a bureaucratic juggernaut: [148] National mapping as practiced in the United States and other developed countries has long served complementary goals of national defense and economic development. / </w:t>
      </w:r>
    </w:p>
    <w:p w14:paraId="56BCC8BE" w14:textId="77777777" w:rsidR="00076776" w:rsidRDefault="00076776"/>
    <w:p w14:paraId="236DFDC9" w14:textId="77777777" w:rsidR="00076776" w:rsidRDefault="00000000">
      <w:pPr>
        <w:pStyle w:val="Heading2"/>
      </w:pPr>
      <w:r>
        <w:t>Notes</w:t>
      </w:r>
    </w:p>
    <w:p w14:paraId="4DADDCEA" w14:textId="77777777" w:rsidR="00076776" w:rsidRDefault="00000000">
      <w:r>
        <w:rPr>
          <w:highlight w:val="green"/>
        </w:rPr>
        <w:t xml:space="preserve">118 </w:t>
      </w:r>
      <w:proofErr w:type="gramStart"/>
      <w:r>
        <w:rPr>
          <w:highlight w:val="green"/>
        </w:rPr>
        <w:t>K?@</w:t>
      </w:r>
      <w:proofErr w:type="spellStart"/>
      <w:proofErr w:type="gramEnd"/>
      <w:r>
        <w:rPr>
          <w:highlight w:val="green"/>
        </w:rPr>
        <w:t>WIAM</w:t>
      </w:r>
      <w:r>
        <w:t>@GIS@SettPsych@ManDest</w:t>
      </w:r>
      <w:proofErr w:type="spellEnd"/>
    </w:p>
    <w:p w14:paraId="2200CF22" w14:textId="77777777" w:rsidR="00076776" w:rsidRDefault="00000000">
      <w:r>
        <w:t>On this point:</w:t>
      </w:r>
    </w:p>
    <w:p w14:paraId="141701D4" w14:textId="77777777" w:rsidR="00076776" w:rsidRDefault="00000000">
      <w:pPr>
        <w:ind w:left="720"/>
      </w:pPr>
      <w:r>
        <w:t>… navigators for centuries have avoided polar waters and accepted as only a minor liability the Mercator projection’s gross areal exaggeration.</w:t>
      </w:r>
    </w:p>
    <w:p w14:paraId="51ADD784" w14:textId="77777777" w:rsidR="00076776" w:rsidRDefault="00000000">
      <w:r>
        <w:t xml:space="preserve">This is interesting as it shows the intersection of navigational need and aesthetic normalization within map design. Navigators’ functional requirements drive the aesthetic expectation, which then becomes ontologically incorporated; we are left, then, with a moment of normalized distortion of topographic reality as a </w:t>
      </w:r>
      <w:r>
        <w:rPr>
          <w:i/>
        </w:rPr>
        <w:t>base of understanding</w:t>
      </w:r>
      <w:r>
        <w:t xml:space="preserve"> areal and political space for lay (non-navigator) viewers. M notes the ubiquity of Mercator’s projection, as well as the ways in which it supports symbolic, Eurocentric global dominance: </w:t>
      </w:r>
    </w:p>
    <w:p w14:paraId="1531B0F5" w14:textId="77777777" w:rsidR="00076776" w:rsidRDefault="00076776"/>
    <w:p w14:paraId="2E5E5DDA" w14:textId="77777777" w:rsidR="00076776" w:rsidRDefault="00000000">
      <w:pPr>
        <w:ind w:left="720"/>
      </w:pPr>
      <w:r>
        <w:t xml:space="preserve">Although equal-area map projections (as in figs. 2.5 and 2.6) have been available since at least 1772, when Johann Heinrich Lambert published his classic </w:t>
      </w:r>
      <w:proofErr w:type="spellStart"/>
      <w:r>
        <w:rPr>
          <w:i/>
        </w:rPr>
        <w:t>Beiträge</w:t>
      </w:r>
      <w:proofErr w:type="spellEnd"/>
      <w:r>
        <w:rPr>
          <w:i/>
        </w:rPr>
        <w:t xml:space="preserve"> </w:t>
      </w:r>
      <w:proofErr w:type="spellStart"/>
      <w:r>
        <w:rPr>
          <w:i/>
        </w:rPr>
        <w:t>zum</w:t>
      </w:r>
      <w:proofErr w:type="spellEnd"/>
      <w:r>
        <w:rPr>
          <w:i/>
        </w:rPr>
        <w:t xml:space="preserve"> </w:t>
      </w:r>
      <w:proofErr w:type="spellStart"/>
      <w:r>
        <w:rPr>
          <w:i/>
        </w:rPr>
        <w:t>Gebrauche</w:t>
      </w:r>
      <w:proofErr w:type="spellEnd"/>
      <w:r>
        <w:rPr>
          <w:i/>
        </w:rPr>
        <w:t xml:space="preserve"> der </w:t>
      </w:r>
      <w:proofErr w:type="spellStart"/>
      <w:r>
        <w:rPr>
          <w:i/>
        </w:rPr>
        <w:t>Mathematik</w:t>
      </w:r>
      <w:proofErr w:type="spellEnd"/>
      <w:r>
        <w:rPr>
          <w:i/>
        </w:rPr>
        <w:t xml:space="preserve"> und </w:t>
      </w:r>
      <w:proofErr w:type="spellStart"/>
      <w:r>
        <w:rPr>
          <w:i/>
        </w:rPr>
        <w:t>deren</w:t>
      </w:r>
      <w:proofErr w:type="spellEnd"/>
      <w:r>
        <w:rPr>
          <w:i/>
        </w:rPr>
        <w:t xml:space="preserve"> </w:t>
      </w:r>
      <w:proofErr w:type="spellStart"/>
      <w:r>
        <w:rPr>
          <w:i/>
        </w:rPr>
        <w:t>Anwendung</w:t>
      </w:r>
      <w:proofErr w:type="spellEnd"/>
      <w:r>
        <w:t>, Mercator’s projection provided the geographic framework for wall maps of the world in many nineteenth- and early twentieth-century classrooms, and later for the sets of television news programs and backdrops of official briefing rooms. (It’s also well suited for and widely used in interactive online maps; see chapter 14.) Perhaps distracted by concerns with navigation, exploration, and time zones, cartographically myopic educators and set designers presented a distorted worldview that diminished the significance of tropical areas to the advantage of not only Canada and Siberia but western Europe and the United States as well. The English especially liked the way the Mercator flattered the British Empire with a central meridian through Greenwich and prominent far-flung colonies in Australia, Canada, and South Africa.</w:t>
      </w:r>
    </w:p>
    <w:p w14:paraId="75434C88" w14:textId="77777777" w:rsidR="00076776" w:rsidRDefault="00076776"/>
    <w:p w14:paraId="31DC0387" w14:textId="77777777" w:rsidR="00076776" w:rsidRDefault="00000000">
      <w:r>
        <w:t xml:space="preserve">I wonder if this same process—of willful distortion to support an ontology—appears in other aspects of settler wayfinding, ones in which math and sightlines, for example, seem to magically support Western understandings of space and place, what M calls “unwitting geopolitical propaganda” (120), as if to make [@KTerm] </w:t>
      </w:r>
      <w:r>
        <w:rPr>
          <w:b/>
        </w:rPr>
        <w:t>manifest destination</w:t>
      </w:r>
      <w:r>
        <w:t xml:space="preserve"> from the larger sense of manifest destiny. What do these delusions suggest about a Western culture that self-identifies as scientific and reasonable? </w:t>
      </w:r>
      <w:proofErr w:type="gramStart"/>
      <w:r>
        <w:t>And,</w:t>
      </w:r>
      <w:proofErr w:type="gramEnd"/>
      <w:r>
        <w:t xml:space="preserve"> is it possible that these seemingly neutral numbers, lines, and angles are so unwitting, after all? </w:t>
      </w:r>
    </w:p>
    <w:p w14:paraId="60803120" w14:textId="77777777" w:rsidR="00076776" w:rsidRDefault="00076776"/>
    <w:p w14:paraId="30E985B9" w14:textId="77777777" w:rsidR="00076776" w:rsidRDefault="00000000">
      <w:pPr>
        <w:pStyle w:val="Heading1"/>
      </w:pPr>
      <w:bookmarkStart w:id="31" w:name="_heading=h.2p2csry" w:colFirst="0" w:colLast="0"/>
      <w:bookmarkEnd w:id="31"/>
      <w:r>
        <w:lastRenderedPageBreak/>
        <w:t>*(1998) Sparke, “A Map that Roared and an Original Atlas: Canada, Cartography, and the Narration of Nation”</w:t>
      </w:r>
    </w:p>
    <w:p w14:paraId="09BBCFAB" w14:textId="77777777" w:rsidR="00076776" w:rsidRDefault="00076776"/>
    <w:p w14:paraId="051A9536" w14:textId="77777777" w:rsidR="00076776" w:rsidRDefault="00000000">
      <w:pPr>
        <w:pStyle w:val="Heading2"/>
      </w:pPr>
      <w:r>
        <w:t>Abstract</w:t>
      </w:r>
    </w:p>
    <w:p w14:paraId="67DAF409" w14:textId="77777777" w:rsidR="00076776" w:rsidRDefault="00000000">
      <w:r>
        <w:t xml:space="preserve">Reads the nation-making convergences and contrasts between </w:t>
      </w:r>
      <w:r>
        <w:rPr>
          <w:i/>
        </w:rPr>
        <w:t>Delgamuukw v. the Queen</w:t>
      </w:r>
      <w:r>
        <w:t xml:space="preserve"> case and</w:t>
      </w:r>
      <w:r>
        <w:rPr>
          <w:i/>
        </w:rPr>
        <w:t xml:space="preserve"> </w:t>
      </w:r>
      <w:r>
        <w:t>volume 1 of the</w:t>
      </w:r>
      <w:r>
        <w:rPr>
          <w:i/>
        </w:rPr>
        <w:t xml:space="preserve"> Historical Atlas of Canada</w:t>
      </w:r>
      <w:r>
        <w:t>, through Homi Bhabha and postcolonialism, to make “the ambivalent (post)colonial power relations of cartography—the fact that they can work both for and against colonialism—become evident.”</w:t>
      </w:r>
    </w:p>
    <w:p w14:paraId="55D0D8AE" w14:textId="77777777" w:rsidR="00076776" w:rsidRDefault="00076776"/>
    <w:p w14:paraId="48157C21" w14:textId="77777777" w:rsidR="00076776" w:rsidRDefault="00000000">
      <w:pPr>
        <w:pStyle w:val="Heading2"/>
      </w:pPr>
      <w:r>
        <w:t>Key words</w:t>
      </w:r>
    </w:p>
    <w:p w14:paraId="7B47CD8F" w14:textId="77777777" w:rsidR="00076776" w:rsidRDefault="00000000">
      <w:r>
        <w:t xml:space="preserve">cartography, nation-state, political geography, postcolonial theory, Gitxsan, </w:t>
      </w:r>
      <w:proofErr w:type="spellStart"/>
      <w:r>
        <w:t>Wet’swuet’en</w:t>
      </w:r>
      <w:proofErr w:type="spellEnd"/>
      <w:r>
        <w:t xml:space="preserve">, </w:t>
      </w:r>
      <w:r>
        <w:rPr>
          <w:i/>
        </w:rPr>
        <w:t>Delgamuukw v. the Queen</w:t>
      </w:r>
    </w:p>
    <w:p w14:paraId="0CA5E369" w14:textId="77777777" w:rsidR="00076776" w:rsidRDefault="00076776"/>
    <w:p w14:paraId="5311DB61" w14:textId="77777777" w:rsidR="00076776" w:rsidRDefault="00000000">
      <w:pPr>
        <w:pStyle w:val="Heading2"/>
      </w:pPr>
      <w:r>
        <w:t>Essential quote</w:t>
      </w:r>
    </w:p>
    <w:p w14:paraId="6F1A06D4" w14:textId="77777777" w:rsidR="00076776" w:rsidRDefault="00000000">
      <w:r>
        <w:t>In both studies, the ambivalent (post)colonial power relations of cartography—the fact that they can work both for and against colonial- ism—become evident.</w:t>
      </w:r>
    </w:p>
    <w:p w14:paraId="5484F71D" w14:textId="77777777" w:rsidR="00076776" w:rsidRDefault="00076776"/>
    <w:p w14:paraId="0C08F65E" w14:textId="77777777" w:rsidR="00076776" w:rsidRDefault="00000000">
      <w:pPr>
        <w:pStyle w:val="Heading2"/>
      </w:pPr>
      <w:r>
        <w:t>Terms</w:t>
      </w:r>
    </w:p>
    <w:p w14:paraId="4EE03E07" w14:textId="77777777" w:rsidR="00076776" w:rsidRDefault="00000000">
      <w:r>
        <w:t xml:space="preserve">464: </w:t>
      </w:r>
      <w:r>
        <w:rPr>
          <w:b/>
        </w:rPr>
        <w:t>Historical Atlas of Canada</w:t>
      </w:r>
      <w:r>
        <w:t xml:space="preserve">: “… a national project that narrated an origin story of Canada.” </w:t>
      </w:r>
    </w:p>
    <w:p w14:paraId="0BB87022" w14:textId="77777777" w:rsidR="00076776" w:rsidRDefault="00000000">
      <w:pPr>
        <w:ind w:left="720"/>
      </w:pPr>
      <w:r>
        <w:t xml:space="preserve">480: [@FFessay] </w:t>
      </w:r>
      <w:r>
        <w:rPr>
          <w:b/>
        </w:rPr>
        <w:t>atlas</w:t>
      </w:r>
      <w:r>
        <w:t>: in the general sense, from “</w:t>
      </w:r>
      <w:r>
        <w:rPr>
          <w:highlight w:val="magenta"/>
        </w:rPr>
        <w:t>José Rabasa</w:t>
      </w:r>
      <w:r>
        <w:t xml:space="preserve">’s words about </w:t>
      </w:r>
      <w:r>
        <w:rPr>
          <w:highlight w:val="magenta"/>
        </w:rPr>
        <w:t>Mercator</w:t>
      </w:r>
      <w:r>
        <w:t>’s original atlas. Such an atlas, he argued, must be understood:</w:t>
      </w:r>
    </w:p>
    <w:p w14:paraId="3DB276CF" w14:textId="77777777" w:rsidR="00076776" w:rsidRDefault="00000000">
      <w:pPr>
        <w:ind w:left="1440"/>
      </w:pPr>
      <w:r>
        <w:t>as simultaneously constituting a stock of information for a collection of memory and instituting a signaling tool for scrambling previous territorializations. Memory and systematic forgetfulness, fantastic allegories and geometric reason coexist in the Atlas with an apparent disparity (Rabasa 1985:3).</w:t>
      </w:r>
    </w:p>
    <w:p w14:paraId="0284AE5B" w14:textId="77777777" w:rsidR="00076776" w:rsidRDefault="00000000">
      <w:r>
        <w:t xml:space="preserve">467: </w:t>
      </w:r>
      <w:r>
        <w:rPr>
          <w:b/>
        </w:rPr>
        <w:t xml:space="preserve">ambivalence </w:t>
      </w:r>
      <w:r>
        <w:t xml:space="preserve">[@OAT@OralEx]: in the Bhabha sense, “The imagination and narration of nation, Bhabha argues, is deeply marked by ambivalence (1994:146–51). On the one hand, there is what he describes as the self-certain pedagogy of national discourse. … On the other hand, Bhabha argues that such national pedagogy always </w:t>
      </w:r>
      <w:proofErr w:type="gramStart"/>
      <w:r>
        <w:t>has to</w:t>
      </w:r>
      <w:proofErr w:type="gramEnd"/>
      <w:r>
        <w:t xml:space="preserve"> come to realization through supplementary performances, the actual putting into practice and place of the teachings. It is in such unavoidable performance, he suggests, that the political unity of the national narrative falls apart…”</w:t>
      </w:r>
    </w:p>
    <w:p w14:paraId="372193A7" w14:textId="77777777" w:rsidR="00076776" w:rsidRDefault="00000000">
      <w:r>
        <w:rPr>
          <w:highlight w:val="green"/>
        </w:rPr>
        <w:t xml:space="preserve">468: </w:t>
      </w:r>
      <w:r>
        <w:rPr>
          <w:b/>
          <w:highlight w:val="green"/>
        </w:rPr>
        <w:t>contrapuntal cartographies</w:t>
      </w:r>
      <w:r>
        <w:t xml:space="preserve">: [@FFessay@Diss@Motherlode!] Using the Atlas as an example: “I argue that the more radical and creative aspect of the </w:t>
      </w:r>
      <w:r>
        <w:rPr>
          <w:i/>
        </w:rPr>
        <w:t>Atlas</w:t>
      </w:r>
      <w:r>
        <w:t xml:space="preserve"> has been to provide a cartographic “musical score” which, once given contrapuntal voicing, can enable its national Canadian audience to rethink the colonial frontiers of national knowledge itself. By scrupulously mapping the supposed beginnings of the nation, the Atlas subverts any punctual notion of a singular national origin, displacing it with an invitation to readers to reevaluate the ways in which the template of contemporary Canada is imposed proleptically on a heterogeneous past. … As such, </w:t>
      </w:r>
      <w:r>
        <w:rPr>
          <w:b/>
        </w:rPr>
        <w:t>its contrapuntal aspects exemplify what Bhabha calls “a liminal signifying space</w:t>
      </w:r>
      <w:r>
        <w:t xml:space="preserve"> </w:t>
      </w:r>
      <w:r>
        <w:lastRenderedPageBreak/>
        <w:t>that is internally marked by the discourses of minorities, the heterogeneous histories of contending peoples, antagonistic authorities and tense locations of cultural difference” (1994:148).</w:t>
      </w:r>
    </w:p>
    <w:p w14:paraId="1E2A4929" w14:textId="77777777" w:rsidR="00076776" w:rsidRDefault="00000000">
      <w:pPr>
        <w:tabs>
          <w:tab w:val="left" w:pos="5173"/>
        </w:tabs>
      </w:pPr>
      <w:r>
        <w:rPr>
          <w:highlight w:val="green"/>
        </w:rPr>
        <w:t xml:space="preserve">468: </w:t>
      </w:r>
      <w:r>
        <w:rPr>
          <w:b/>
          <w:highlight w:val="green"/>
        </w:rPr>
        <w:t>contrapuntal dualities</w:t>
      </w:r>
      <w:r>
        <w:rPr>
          <w:highlight w:val="green"/>
        </w:rPr>
        <w:t>:</w:t>
      </w:r>
      <w:r>
        <w:t xml:space="preserve"> [@Dual@FFessay] “Like the Atlas, the contrapuntal dualities of </w:t>
      </w:r>
      <w:r>
        <w:rPr>
          <w:i/>
        </w:rPr>
        <w:t>Delgamuukw v. the Queen</w:t>
      </w:r>
      <w:r>
        <w:t xml:space="preserve"> made the location of national discourse a contentious question through a repeated return to maps. Not only were cartographic tools and arguments used by the defense (the B.C. and federal governments), </w:t>
      </w:r>
      <w:proofErr w:type="gramStart"/>
      <w:r>
        <w:t>they</w:t>
      </w:r>
      <w:proofErr w:type="gramEnd"/>
      <w:r>
        <w:t xml:space="preserve"> were also a key component of the Wet’suwet’en and Gitxsan people’s own attempts to outline their sovereignty in a way the Canadian court might understand (e.g., Figure 1). It was one such map of Gitxsan and Wet’suwet’en territory (Exhibit 102) that Chief Justice Allan McEachern was beginning to unfold when he declared, “We’ll call it the map that roared.”</w:t>
      </w:r>
    </w:p>
    <w:p w14:paraId="57456C0E" w14:textId="77777777" w:rsidR="00076776" w:rsidRDefault="00000000">
      <w:pPr>
        <w:tabs>
          <w:tab w:val="left" w:pos="5173"/>
        </w:tabs>
      </w:pPr>
      <w:r>
        <w:t xml:space="preserve">472: </w:t>
      </w:r>
      <w:r>
        <w:rPr>
          <w:b/>
        </w:rPr>
        <w:t>geometry of power</w:t>
      </w:r>
      <w:r>
        <w:t xml:space="preserve">: [@FFessay@IKSG] “… the spatial order of the legal system tends to be mapped out in abstract state-space, coordinated in large part by the desires and intentions of the administrators of state law rather than the demands of the people seeking justice through the legal system. It also showed how the court, in the </w:t>
      </w:r>
      <w:proofErr w:type="spellStart"/>
      <w:r>
        <w:t>microgeography</w:t>
      </w:r>
      <w:proofErr w:type="spellEnd"/>
      <w:r>
        <w:t xml:space="preserve"> of its day-to-day procedures, served as an apparatus of colonizing state power.” </w:t>
      </w:r>
    </w:p>
    <w:p w14:paraId="1D4F3DD7" w14:textId="77777777" w:rsidR="00076776" w:rsidRDefault="00000000">
      <w:pPr>
        <w:tabs>
          <w:tab w:val="left" w:pos="5173"/>
        </w:tabs>
      </w:pPr>
      <w:r>
        <w:t xml:space="preserve">478: </w:t>
      </w:r>
      <w:r>
        <w:rPr>
          <w:b/>
        </w:rPr>
        <w:t>spatial arrogance</w:t>
      </w:r>
      <w:r>
        <w:t xml:space="preserve">: [@CogImp] “The usual spatial arrogance of European imperialism assumed elsewhere by the government lawyers in arguments about extinguishing aboriginal rights was thus displaced. In its stead came a litany of caveats concerning the limits rather than the sweeping reach of European spatial knowledge.” </w:t>
      </w:r>
    </w:p>
    <w:p w14:paraId="0404120A" w14:textId="77777777" w:rsidR="00076776" w:rsidRDefault="00000000">
      <w:pPr>
        <w:tabs>
          <w:tab w:val="left" w:pos="5173"/>
        </w:tabs>
      </w:pPr>
      <w:r>
        <w:t xml:space="preserve">482: </w:t>
      </w:r>
      <w:r>
        <w:rPr>
          <w:b/>
        </w:rPr>
        <w:t>singularizing root system</w:t>
      </w:r>
      <w:r>
        <w:t xml:space="preserve">: [@Narr@ManDest] “The clearest expression of the singularizing root system in the </w:t>
      </w:r>
      <w:r>
        <w:rPr>
          <w:i/>
        </w:rPr>
        <w:t>Atlas</w:t>
      </w:r>
      <w:r>
        <w:t xml:space="preserve"> is the way its narrative evolution anchors the “beginning” of Canada in time, </w:t>
      </w:r>
      <w:proofErr w:type="gramStart"/>
      <w:r>
        <w:t>or,</w:t>
      </w:r>
      <w:proofErr w:type="gramEnd"/>
      <w:r>
        <w:t xml:space="preserve"> to be more precise, in European historicist chronology. Following the temporal logos of this chronology…” </w:t>
      </w:r>
    </w:p>
    <w:p w14:paraId="2B34AE33" w14:textId="77777777" w:rsidR="00076776" w:rsidRDefault="00000000">
      <w:pPr>
        <w:tabs>
          <w:tab w:val="left" w:pos="5173"/>
        </w:tabs>
      </w:pPr>
      <w:r>
        <w:rPr>
          <w:highlight w:val="green"/>
        </w:rPr>
        <w:t>483:</w:t>
      </w:r>
      <w:r>
        <w:t xml:space="preserve"> </w:t>
      </w:r>
      <w:r>
        <w:rPr>
          <w:b/>
          <w:highlight w:val="green"/>
        </w:rPr>
        <w:t>evolutionist taxonomy</w:t>
      </w:r>
      <w:r>
        <w:t xml:space="preserve">: as in tendency to enfold Indigenous Peoples into the colonial data-record: “… what </w:t>
      </w:r>
      <w:proofErr w:type="spellStart"/>
      <w:r>
        <w:t>Fabida</w:t>
      </w:r>
      <w:proofErr w:type="spellEnd"/>
      <w:r>
        <w:t xml:space="preserve"> Jara and Ed- </w:t>
      </w:r>
      <w:proofErr w:type="spellStart"/>
      <w:r>
        <w:t>mundo</w:t>
      </w:r>
      <w:proofErr w:type="spellEnd"/>
      <w:r>
        <w:t xml:space="preserve"> Magana call an “evolutionist taxonomy” (1982:117) at work in the map series, a taxonomy whose disciplined and repeated reference to “di- agnostic artifacts,” “cultural sequences,” and academic debates over “poor data,” turns this first part of the Atlas into the cartographic equivalent of a state-managed archaeological museum.”</w:t>
      </w:r>
    </w:p>
    <w:p w14:paraId="1F0BA695" w14:textId="77777777" w:rsidR="00076776" w:rsidRDefault="00000000">
      <w:pPr>
        <w:tabs>
          <w:tab w:val="left" w:pos="5173"/>
        </w:tabs>
      </w:pPr>
      <w:r>
        <w:rPr>
          <w:highlight w:val="green"/>
        </w:rPr>
        <w:t xml:space="preserve">484: </w:t>
      </w:r>
      <w:r>
        <w:rPr>
          <w:b/>
          <w:highlight w:val="green"/>
        </w:rPr>
        <w:t>epistemological imperialism</w:t>
      </w:r>
      <w:r>
        <w:t xml:space="preserve">: A cousin of @CogImp, really, but mentioned in the relation to the settler [@SettPscyhe] tendency to homogenize and then incorporate multiple Indigenous histories into the sweep of linear, settler history: “… a terminological homogenization of first peoples that is also symptomatic of European epistemological imperialism.” </w:t>
      </w:r>
    </w:p>
    <w:p w14:paraId="1D02639E" w14:textId="77777777" w:rsidR="00076776" w:rsidRDefault="00000000">
      <w:pPr>
        <w:tabs>
          <w:tab w:val="left" w:pos="5173"/>
        </w:tabs>
      </w:pPr>
      <w:r>
        <w:t xml:space="preserve">487: @IKSG </w:t>
      </w:r>
      <w:r>
        <w:rPr>
          <w:b/>
        </w:rPr>
        <w:t>proleptic cartography</w:t>
      </w:r>
      <w:r>
        <w:t xml:space="preserve">: “… </w:t>
      </w:r>
      <w:proofErr w:type="spellStart"/>
      <w:r>
        <w:t>enframes</w:t>
      </w:r>
      <w:proofErr w:type="spellEnd"/>
      <w:r>
        <w:t xml:space="preserve"> the modern Canadian state through the disciplined objectification of native peoples as part of the nation’s naturally non-American landscape. // Martin suggests that this proleptic cartography creates a teleology, the development of which inches slowly back towards the claim in the preface that “[t]he country’s southern boundary is not a geographical absurdity” (1988:86).”</w:t>
      </w:r>
    </w:p>
    <w:p w14:paraId="7FB474CB" w14:textId="77777777" w:rsidR="00076776" w:rsidRDefault="00000000">
      <w:pPr>
        <w:tabs>
          <w:tab w:val="left" w:pos="5173"/>
        </w:tabs>
      </w:pPr>
      <w:r>
        <w:t xml:space="preserve">488: </w:t>
      </w:r>
      <w:r>
        <w:rPr>
          <w:b/>
        </w:rPr>
        <w:t>monological pedagogy</w:t>
      </w:r>
      <w:r>
        <w:t xml:space="preserve">: [@ManDest@OAT] “The story of Canadian distinction being rooted in diverse routes and regions is certainly not new. At least since the 1960s and J. M. S. </w:t>
      </w:r>
      <w:proofErr w:type="spellStart"/>
      <w:r>
        <w:t>Careless’s</w:t>
      </w:r>
      <w:proofErr w:type="spellEnd"/>
      <w:r>
        <w:t xml:space="preserve"> canonical discussion of the “limited identities” of Canada’s regionalized archipelago, the notion of Canada as a mosaic rather than a melting pot has proved the resilient core of endless nation-narrating contrasts with the U.S. (Careless 1969). The U.S., in this narrative, would seem to be far closer to Bhabha’s model of monological pedagogy.”</w:t>
      </w:r>
    </w:p>
    <w:p w14:paraId="48F18C20" w14:textId="77777777" w:rsidR="00076776" w:rsidRDefault="00000000">
      <w:pPr>
        <w:tabs>
          <w:tab w:val="left" w:pos="5173"/>
        </w:tabs>
      </w:pPr>
      <w:r>
        <w:lastRenderedPageBreak/>
        <w:t xml:space="preserve">489-90: </w:t>
      </w:r>
      <w:r>
        <w:rPr>
          <w:b/>
        </w:rPr>
        <w:t>new ideology</w:t>
      </w:r>
      <w:r>
        <w:t xml:space="preserve">: [@Ideal@ManDest@NeoCol@Map] On the Atlas as a national-consciousness tool: “The ultimate irony of the </w:t>
      </w:r>
      <w:r>
        <w:rPr>
          <w:i/>
        </w:rPr>
        <w:t>Atlas</w:t>
      </w:r>
      <w:r>
        <w:t xml:space="preserve"> is that the more readers examine the detailed mapping of diverging routes across the land, the more a monolithic picture of the nation fades, and the better is the state </w:t>
      </w:r>
      <w:proofErr w:type="spellStart"/>
      <w:r>
        <w:t>enframed</w:t>
      </w:r>
      <w:proofErr w:type="spellEnd"/>
      <w:r>
        <w:t xml:space="preserve"> as distinct from a homogenized U.S. This may not be superstructural national ideology of the sort Bhabha, following </w:t>
      </w:r>
      <w:r>
        <w:rPr>
          <w:highlight w:val="magenta"/>
        </w:rPr>
        <w:t>Lefort</w:t>
      </w:r>
      <w:r>
        <w:t>, repudiates, but it does come peculiarly close to the gestures of the “new ideology” outlined at the close of the Lefort’s text. This new ideology, he argues,</w:t>
      </w:r>
    </w:p>
    <w:p w14:paraId="7599958B" w14:textId="77777777" w:rsidR="00076776" w:rsidRDefault="00000000">
      <w:pPr>
        <w:tabs>
          <w:tab w:val="left" w:pos="5173"/>
        </w:tabs>
        <w:ind w:left="720"/>
      </w:pPr>
      <w:r>
        <w:t xml:space="preserve">does without capital letters; pretends to propagate information, pretends even to question and probe. It does not hold the other at a </w:t>
      </w:r>
      <w:proofErr w:type="gramStart"/>
      <w:r>
        <w:t>distance, but</w:t>
      </w:r>
      <w:proofErr w:type="gramEnd"/>
      <w:r>
        <w:t xml:space="preserve"> includes its representative in itself; it presents itself as an incessant dialogue and thus takes hold of the gap between the self and the other </w:t>
      </w:r>
      <w:proofErr w:type="gramStart"/>
      <w:r>
        <w:t>in order to</w:t>
      </w:r>
      <w:proofErr w:type="gramEnd"/>
      <w:r>
        <w:t xml:space="preserve"> make room for both within itself (1986:227).</w:t>
      </w:r>
    </w:p>
    <w:p w14:paraId="200AE13F" w14:textId="77777777" w:rsidR="00076776" w:rsidRDefault="00076776">
      <w:pPr>
        <w:tabs>
          <w:tab w:val="left" w:pos="5173"/>
        </w:tabs>
      </w:pPr>
    </w:p>
    <w:p w14:paraId="5C6FE901" w14:textId="77777777" w:rsidR="00076776" w:rsidRDefault="00000000">
      <w:pPr>
        <w:pStyle w:val="Heading2"/>
      </w:pPr>
      <w:r>
        <w:t>Core quotes</w:t>
      </w:r>
    </w:p>
    <w:p w14:paraId="4C4AB144" w14:textId="77777777" w:rsidR="00076776" w:rsidRDefault="00000000">
      <w:r>
        <w:t>464 @Law@</w:t>
      </w:r>
      <w:proofErr w:type="gramStart"/>
      <w:r>
        <w:t>L?@</w:t>
      </w:r>
      <w:proofErr w:type="gramEnd"/>
      <w:r>
        <w:t>SpacePlace@SpaceTime</w:t>
      </w:r>
    </w:p>
    <w:p w14:paraId="687F58BD" w14:textId="77777777" w:rsidR="00076776" w:rsidRDefault="00000000">
      <w:r>
        <w:t xml:space="preserve">Delgamuukw was </w:t>
      </w:r>
    </w:p>
    <w:p w14:paraId="787C3F18" w14:textId="77777777" w:rsidR="00076776" w:rsidRDefault="00000000">
      <w:pPr>
        <w:ind w:left="720"/>
      </w:pPr>
      <w:r>
        <w:t>“</w:t>
      </w:r>
      <w:proofErr w:type="gramStart"/>
      <w:r>
        <w:t>about</w:t>
      </w:r>
      <w:proofErr w:type="gramEnd"/>
      <w:r>
        <w:t xml:space="preserve"> their [</w:t>
      </w:r>
      <w:proofErr w:type="spellStart"/>
      <w:r>
        <w:t>Wet’su-wet’en</w:t>
      </w:r>
      <w:proofErr w:type="spellEnd"/>
      <w:r>
        <w:t xml:space="preserve"> and the Gitxsan] understandings of space, time, and territorial jurisdiction.</w:t>
      </w:r>
    </w:p>
    <w:p w14:paraId="518D8643" w14:textId="77777777" w:rsidR="00076776" w:rsidRDefault="00076776"/>
    <w:p w14:paraId="3D648CA2" w14:textId="77777777" w:rsidR="00076776" w:rsidRDefault="00000000">
      <w:pPr>
        <w:rPr>
          <w:highlight w:val="green"/>
        </w:rPr>
      </w:pPr>
      <w:r>
        <w:rPr>
          <w:highlight w:val="green"/>
        </w:rPr>
        <w:t>467 @Diss@FFessay@</w:t>
      </w:r>
      <w:proofErr w:type="gramStart"/>
      <w:r>
        <w:rPr>
          <w:highlight w:val="green"/>
        </w:rPr>
        <w:t>Motherlode!@</w:t>
      </w:r>
      <w:proofErr w:type="gramEnd"/>
      <w:r>
        <w:rPr>
          <w:highlight w:val="green"/>
        </w:rPr>
        <w:t>KTerm@Poco@Decol</w:t>
      </w:r>
    </w:p>
    <w:p w14:paraId="557409F4" w14:textId="77777777" w:rsidR="00076776" w:rsidRDefault="00000000">
      <w:r>
        <w:t>Great source for my term of “</w:t>
      </w:r>
      <w:proofErr w:type="spellStart"/>
      <w:r>
        <w:rPr>
          <w:highlight w:val="red"/>
        </w:rPr>
        <w:t>contracolonial</w:t>
      </w:r>
      <w:proofErr w:type="spellEnd"/>
      <w:r>
        <w:rPr>
          <w:highlight w:val="red"/>
        </w:rPr>
        <w:t xml:space="preserve"> toponomy</w:t>
      </w:r>
      <w:r>
        <w:t xml:space="preserve">” </w:t>
      </w:r>
    </w:p>
    <w:p w14:paraId="5FAEAD15" w14:textId="77777777" w:rsidR="00076776" w:rsidRDefault="00076776"/>
    <w:p w14:paraId="4B32D77E" w14:textId="77777777" w:rsidR="00076776" w:rsidRDefault="00000000">
      <w:pPr>
        <w:ind w:left="720"/>
      </w:pPr>
      <w:r>
        <w:t xml:space="preserve">Nevertheless, her [Jane Jacobs] keen attention to cartographic destabilization through remapping illustrates and introduces the concept-metaphor I call “contrapuntal cartographies.” // The notion of a contrapuntal reading of cartography is drawn from Edward </w:t>
      </w:r>
      <w:r>
        <w:rPr>
          <w:highlight w:val="magenta"/>
        </w:rPr>
        <w:t>Said</w:t>
      </w:r>
      <w:r>
        <w:t xml:space="preserve">, who uses the musical metaphor to break down singularized and unidirectional understandings of the culture of imperialism (1993). Reading contrapuntally, argues Said, involves “a simultaneous awareness both of the metropolitan history that is narrated and of those other histories against which (and together with which) the dominating discourse acts” (1993:51). Said thus reworks the formal musical meaning of the term, suggesting that a contrapuntal interpretation involves </w:t>
      </w:r>
      <w:r>
        <w:rPr>
          <w:b/>
        </w:rPr>
        <w:t>a strategic revoicing of the subdominant</w:t>
      </w:r>
      <w:r>
        <w:t xml:space="preserve"> </w:t>
      </w:r>
      <w:r>
        <w:rPr>
          <w:b/>
        </w:rPr>
        <w:t>to make it equal to the dominant</w:t>
      </w:r>
      <w:r>
        <w:t xml:space="preserve"> and thus to orchestrate a balance that can potentially edify and educate an audience about the power relations of culture.</w:t>
      </w:r>
    </w:p>
    <w:p w14:paraId="7881E6F2" w14:textId="77777777" w:rsidR="00076776" w:rsidRDefault="00076776"/>
    <w:p w14:paraId="2A85BA84" w14:textId="77777777" w:rsidR="00076776" w:rsidRDefault="00000000">
      <w:r>
        <w:t>471 @Law@SettPsych@Hegem@</w:t>
      </w:r>
      <w:proofErr w:type="gramStart"/>
      <w:r>
        <w:t>Resist!@</w:t>
      </w:r>
      <w:proofErr w:type="gramEnd"/>
      <w:r>
        <w:t>IndLaw@SpacePlace</w:t>
      </w:r>
    </w:p>
    <w:p w14:paraId="6751234E" w14:textId="77777777" w:rsidR="00076776" w:rsidRDefault="00000000">
      <w:pPr>
        <w:ind w:left="720"/>
      </w:pPr>
      <w:proofErr w:type="gramStart"/>
      <w:r>
        <w:t>Thus</w:t>
      </w:r>
      <w:proofErr w:type="gramEnd"/>
      <w:r>
        <w:t xml:space="preserve"> </w:t>
      </w:r>
      <w:r>
        <w:rPr>
          <w:b/>
        </w:rPr>
        <w:t>the Gitxsan and Wet’suwet’en also had to negotiate the abstracting effect of the court itself</w:t>
      </w:r>
      <w:r>
        <w:t xml:space="preserve">: its rules, its norms of behavior, and its general distance from everyday life among the two First Nations. Central to all these courtroom abstractions was the removed, bureaucratized, and disembodied conception of abstract space that, [Timothy Mitchell] argues, is constitutive of modern state effects. The Gitxsan and Wet’suwet’en were therefore obliged to negotiate with the structuring effects of this normalized abstract space—what might usefully be called a pedagogic space of “the people”—at </w:t>
      </w:r>
      <w:proofErr w:type="gramStart"/>
      <w:r>
        <w:t>a number of</w:t>
      </w:r>
      <w:proofErr w:type="gramEnd"/>
      <w:r>
        <w:t xml:space="preserve"> different levels.</w:t>
      </w:r>
    </w:p>
    <w:p w14:paraId="2EC460DF" w14:textId="77777777" w:rsidR="00076776" w:rsidRDefault="00076776"/>
    <w:p w14:paraId="3EC51651" w14:textId="77777777" w:rsidR="00076776" w:rsidRDefault="00000000">
      <w:pPr>
        <w:ind w:left="720"/>
      </w:pPr>
      <w:r>
        <w:t xml:space="preserve">[472] It was precisely the rules of this game played in abstract space that the two First Nations had to negotiate. Given that </w:t>
      </w:r>
      <w:proofErr w:type="gramStart"/>
      <w:r>
        <w:t>ultimately</w:t>
      </w:r>
      <w:proofErr w:type="gramEnd"/>
      <w:r>
        <w:t xml:space="preserve"> they had to communicate their territorial </w:t>
      </w:r>
      <w:r>
        <w:lastRenderedPageBreak/>
        <w:t xml:space="preserve">knowledge to this judge in this court, they translated their oral knowledge into a series of maps. This produced, I think, one of the clearest examples of </w:t>
      </w:r>
      <w:proofErr w:type="spellStart"/>
      <w:r>
        <w:t>Satsan’s</w:t>
      </w:r>
      <w:proofErr w:type="spellEnd"/>
      <w:r>
        <w:t xml:space="preserve"> point about playing the game </w:t>
      </w:r>
      <w:proofErr w:type="gramStart"/>
      <w:r>
        <w:t>in order to</w:t>
      </w:r>
      <w:proofErr w:type="gramEnd"/>
      <w:r>
        <w:t xml:space="preserve"> change it. Through the medium of modern mapping, they articulated their claim to their territories in a way the judge might understand. In the process, they were effectively </w:t>
      </w:r>
      <w:proofErr w:type="spellStart"/>
      <w:r>
        <w:t>cartographing</w:t>
      </w:r>
      <w:proofErr w:type="spellEnd"/>
      <w:r>
        <w:t xml:space="preserve"> their lands as First Nations within the abstract state-space of Cartesian cartography. Simultaneously, they were supplementing the provincial and federal mapping of the land with maps based on Gitxsan and Wet’suwet’en oral knowledge.</w:t>
      </w:r>
    </w:p>
    <w:p w14:paraId="29F5E9F5" w14:textId="77777777" w:rsidR="00076776" w:rsidRDefault="00076776"/>
    <w:p w14:paraId="5A1D2F3F" w14:textId="77777777" w:rsidR="00076776" w:rsidRDefault="00000000">
      <w:pPr>
        <w:rPr>
          <w:highlight w:val="green"/>
        </w:rPr>
      </w:pPr>
      <w:r>
        <w:rPr>
          <w:highlight w:val="green"/>
        </w:rPr>
        <w:t>474 @</w:t>
      </w:r>
      <w:proofErr w:type="gramStart"/>
      <w:r>
        <w:rPr>
          <w:highlight w:val="green"/>
        </w:rPr>
        <w:t>L?@</w:t>
      </w:r>
      <w:proofErr w:type="gramEnd"/>
      <w:r>
        <w:rPr>
          <w:highlight w:val="green"/>
        </w:rPr>
        <w:t>Law@IndLaw@Map@Topo@</w:t>
      </w:r>
      <w:proofErr w:type="gramStart"/>
      <w:r>
        <w:rPr>
          <w:highlight w:val="green"/>
        </w:rPr>
        <w:t>Motherlode!@</w:t>
      </w:r>
      <w:proofErr w:type="gramEnd"/>
      <w:r>
        <w:rPr>
          <w:highlight w:val="green"/>
        </w:rPr>
        <w:t>Reason</w:t>
      </w:r>
    </w:p>
    <w:p w14:paraId="2CAA7C86" w14:textId="77777777" w:rsidR="00076776" w:rsidRDefault="00000000">
      <w:r>
        <w:t xml:space="preserve">Possibly the most important quote in my notes, so far (28 Feb 2020): </w:t>
      </w:r>
    </w:p>
    <w:p w14:paraId="2377E517" w14:textId="77777777" w:rsidR="00076776" w:rsidRDefault="00076776"/>
    <w:p w14:paraId="499C76FA" w14:textId="77777777" w:rsidR="00076776" w:rsidRDefault="00000000">
      <w:pPr>
        <w:ind w:left="720"/>
      </w:pPr>
      <w:r>
        <w:t xml:space="preserve">…the Gitxsan and Wet’suwet’en were not using map biographies of their occupancy and resource utilization </w:t>
      </w:r>
      <w:proofErr w:type="gramStart"/>
      <w:r>
        <w:t>in order to</w:t>
      </w:r>
      <w:proofErr w:type="gramEnd"/>
      <w:r>
        <w:t xml:space="preserve"> claim title on a resource-tenure basis (see Usher et al. 1992). Instead, they presented the court with a series of maps that mapped their Houses and thus their territory over, or more accurately perhaps, under British Columbian provincial maps (see Figures 4 and 5). Because such </w:t>
      </w:r>
      <w:r>
        <w:rPr>
          <w:b/>
        </w:rPr>
        <w:t>provincial maps had historically been imposed over the territory in a way that almost erased its precolonial spatiality</w:t>
      </w:r>
      <w:r>
        <w:t xml:space="preserve">, this cartographic representation of the Houses also served to chart </w:t>
      </w:r>
      <w:r>
        <w:rPr>
          <w:b/>
        </w:rPr>
        <w:t>the sheer density of the palimpsest produced by the whole series of precolonial, colonial, and postcolonial inscriptions.</w:t>
      </w:r>
      <w:r>
        <w:t xml:space="preserve"> The process restored some meaning to spaces more usually covered by apparent emptiness on modern Canadian representations of the province. </w:t>
      </w:r>
      <w:r>
        <w:rPr>
          <w:b/>
        </w:rPr>
        <w:t xml:space="preserve">Inscribing anticolonial names and places in the middle of the colonial coverage, it also addressed head-on what Bhabha describes as the </w:t>
      </w:r>
      <w:r>
        <w:rPr>
          <w:b/>
          <w:highlight w:val="green"/>
        </w:rPr>
        <w:t>“problem of signifying the interstitial passages and processes of cultural difference that are inscribed in the ‘in-between’”</w:t>
      </w:r>
      <w:r>
        <w:t xml:space="preserve"> (1994:217).</w:t>
      </w:r>
    </w:p>
    <w:p w14:paraId="128D2393" w14:textId="77777777" w:rsidR="00076776" w:rsidRDefault="00076776"/>
    <w:p w14:paraId="4B9A6E35" w14:textId="77777777" w:rsidR="00076776" w:rsidRDefault="00000000">
      <w:r>
        <w:t xml:space="preserve">And, on the move from oral </w:t>
      </w:r>
      <w:proofErr w:type="spellStart"/>
      <w:r>
        <w:t>storyscapes</w:t>
      </w:r>
      <w:proofErr w:type="spellEnd"/>
      <w:r>
        <w:t xml:space="preserve"> to Cartesian maps, we see the unidimensional shift </w:t>
      </w:r>
      <w:proofErr w:type="gramStart"/>
      <w:r>
        <w:t>from  the</w:t>
      </w:r>
      <w:proofErr w:type="gramEnd"/>
      <w:r>
        <w:t xml:space="preserve"> translation: </w:t>
      </w:r>
    </w:p>
    <w:p w14:paraId="7E82BCBE" w14:textId="77777777" w:rsidR="00076776" w:rsidRDefault="00076776"/>
    <w:p w14:paraId="788FCEE3" w14:textId="77777777" w:rsidR="00076776" w:rsidRDefault="00000000">
      <w:pPr>
        <w:ind w:left="720"/>
      </w:pPr>
      <w:r>
        <w:t xml:space="preserve">The internal boundaries they indicate were abstracted from their oral, contextual, and embodied articulation in the songs of the First Nations’ feasts and were represented instead in the silent, Cartesian, and </w:t>
      </w:r>
      <w:proofErr w:type="spellStart"/>
      <w:r>
        <w:rPr>
          <w:b/>
        </w:rPr>
        <w:t>decorporealized</w:t>
      </w:r>
      <w:proofErr w:type="spellEnd"/>
      <w:r>
        <w:t xml:space="preserve"> spatial codes of the modern western state. In both maps, an overall national boundary was used to isolate a decontextualized space that was then subdivided according to what could very easily be understood as local jurisdictions. Yet the maps, while following these abstract rules of proper and stately court procedure, nevertheless also transformed them by establishing a toponymy for the subdivisions with the names of the First Nations’ Houses. In effect, they depict the First Nations territories as seemingly independent nation-states with their own internal boundaries. One way of looking at the maps, therefore, is as illustrations of how the counter- hegemonic can rearticulate the hegemonic in its own oppositional terms. In this way, the First Nations’ territorial jurisdiction was successfully communicated all the while the audience in the theater of nation-state pedagogy witnessed a performance with a difference.</w:t>
      </w:r>
    </w:p>
    <w:p w14:paraId="4000E30F" w14:textId="77777777" w:rsidR="00076776" w:rsidRDefault="00076776"/>
    <w:p w14:paraId="7D139561" w14:textId="77777777" w:rsidR="00076776" w:rsidRDefault="00000000">
      <w:r>
        <w:t>474-76 @Erase@Topo@Law@SettPsych</w:t>
      </w:r>
    </w:p>
    <w:p w14:paraId="7356AFC2" w14:textId="77777777" w:rsidR="00076776" w:rsidRDefault="00000000">
      <w:pPr>
        <w:ind w:left="720"/>
      </w:pPr>
      <w:r>
        <w:lastRenderedPageBreak/>
        <w:t>James Macauley, a lawyer representing the federal government is recorded as asserting the following:</w:t>
      </w:r>
    </w:p>
    <w:p w14:paraId="5FA1998A" w14:textId="77777777" w:rsidR="00076776" w:rsidRDefault="00076776"/>
    <w:p w14:paraId="558C2AE8" w14:textId="77777777" w:rsidR="00076776" w:rsidRDefault="00000000">
      <w:pPr>
        <w:ind w:left="1440"/>
      </w:pPr>
      <w:r>
        <w:t>Mr. Macauley: There is another matter that will come up when my friends, at last it is produced, that’s his atlas of maps. The maps we received today. This comes as no surprise because we have seen this kind of map before. The place names, the names of creeks rivers and hills and all the other features, are none of them geographic names, they are the Gitksan names (Trial Transcripts:279).</w:t>
      </w:r>
    </w:p>
    <w:p w14:paraId="7D56F612" w14:textId="77777777" w:rsidR="00076776" w:rsidRDefault="00076776"/>
    <w:p w14:paraId="0C2B110B" w14:textId="77777777" w:rsidR="00076776" w:rsidRDefault="00000000">
      <w:pPr>
        <w:ind w:left="720"/>
      </w:pPr>
      <w:r>
        <w:t>The names on the government maps, the names of state, as it were, are held up here as the only real names, the “geographic names.” The abstract effect of the state and the territorial homogeneity on which it is secured are thus flatly presented as admitting no alternatives.</w:t>
      </w:r>
    </w:p>
    <w:p w14:paraId="6B399A40" w14:textId="77777777" w:rsidR="00076776" w:rsidRDefault="00076776">
      <w:pPr>
        <w:ind w:left="720"/>
      </w:pPr>
    </w:p>
    <w:p w14:paraId="1BDF7F7D" w14:textId="77777777" w:rsidR="00076776" w:rsidRDefault="00000000">
      <w:pPr>
        <w:ind w:left="720"/>
      </w:pPr>
      <w:r>
        <w:rPr>
          <w:b/>
        </w:rPr>
        <w:t>The over-bold assertion about Gitxsan names not being “geographic names”</w:t>
      </w:r>
      <w:r>
        <w:t xml:space="preserve"> might thus be seen to point to how the Gitxsan and Wet’suwet’en maps had at least challenged observers to rethink Canada’s official geography, the other national naming of the land, as an interested discourse. Yet in the context of the court, such a rethinking was obviously limited. The implication that the so-called “geographic names” were part of an abstract cartographic discourse that had erased the land’s Gitxsan and Wet’suwet’en names was not examined. Instead, </w:t>
      </w:r>
      <w:r>
        <w:rPr>
          <w:b/>
          <w:highlight w:val="green"/>
        </w:rPr>
        <w:t>the project of erasure was reaffirmed against the looming threat of First Nations’ displacements and recodifications of the state’s abstract space.</w:t>
      </w:r>
      <w:r>
        <w:rPr>
          <w:b/>
        </w:rPr>
        <w:t xml:space="preserve"> [477] Whatever names and meaning the Gitxsan and Wet’suwet’en had sought to map back on to the landscape with their cartography was in such moments lost on the judge. For him, instead, the landscape was </w:t>
      </w:r>
      <w:proofErr w:type="spellStart"/>
      <w:r>
        <w:rPr>
          <w:b/>
        </w:rPr>
        <w:t>enframed</w:t>
      </w:r>
      <w:proofErr w:type="spellEnd"/>
      <w:r>
        <w:rPr>
          <w:b/>
        </w:rPr>
        <w:t xml:space="preserve"> as “beautiful, vast and almost empty.” It might seem that these are just terms of innocent, almost sublime reflection. And yet they are also terms of colonial conquest, terms which, with easy appeals to the abstractions of European aestheticism, serve to empty the landscape. … </w:t>
      </w:r>
      <w:proofErr w:type="gramStart"/>
      <w:r>
        <w:rPr>
          <w:b/>
        </w:rPr>
        <w:t>“ As</w:t>
      </w:r>
      <w:proofErr w:type="gramEnd"/>
      <w:r>
        <w:rPr>
          <w:b/>
        </w:rPr>
        <w:t xml:space="preserve"> [@</w:t>
      </w:r>
      <w:proofErr w:type="gramStart"/>
      <w:r>
        <w:rPr>
          <w:b/>
        </w:rPr>
        <w:t>Link:</w:t>
      </w:r>
      <w:r>
        <w:rPr>
          <w:b/>
          <w:highlight w:val="magenta"/>
        </w:rPr>
        <w:t>Harley</w:t>
      </w:r>
      <w:proofErr w:type="gramEnd"/>
      <w:r>
        <w:rPr>
          <w:b/>
        </w:rPr>
        <w:t xml:space="preserve">] Harley describes the </w:t>
      </w:r>
      <w:proofErr w:type="spellStart"/>
      <w:r>
        <w:rPr>
          <w:b/>
        </w:rPr>
        <w:t>enframing</w:t>
      </w:r>
      <w:proofErr w:type="spellEnd"/>
      <w:r>
        <w:rPr>
          <w:b/>
        </w:rPr>
        <w:t xml:space="preserve"> effect of colonial cartography, the Chief Justice’s overall view might also be said to have dispossessed the Gitxsan and Wet’suwet’en </w:t>
      </w:r>
      <w:r>
        <w:rPr>
          <w:b/>
          <w:highlight w:val="green"/>
        </w:rPr>
        <w:t>“by engulfing them with blank spaces”</w:t>
      </w:r>
      <w:r>
        <w:rPr>
          <w:b/>
        </w:rPr>
        <w:t xml:space="preserve"> (1992:531). </w:t>
      </w:r>
      <w:r>
        <w:t xml:space="preserve">[Harley from “Deconstructing the Map”] </w:t>
      </w:r>
    </w:p>
    <w:p w14:paraId="682AAA03" w14:textId="77777777" w:rsidR="00076776" w:rsidRDefault="00076776">
      <w:pPr>
        <w:rPr>
          <w:b/>
        </w:rPr>
      </w:pPr>
    </w:p>
    <w:p w14:paraId="47C9197E" w14:textId="77777777" w:rsidR="00076776" w:rsidRDefault="00000000">
      <w:r>
        <w:t>478 @Law@DoD@MandDest@Law@L?</w:t>
      </w:r>
    </w:p>
    <w:p w14:paraId="08E3DFE7" w14:textId="77777777" w:rsidR="00076776" w:rsidRDefault="00000000">
      <w:pPr>
        <w:ind w:left="720"/>
      </w:pPr>
      <w:r>
        <w:t xml:space="preserve">The [Royal] Proclamation had no legal effect in British Columbia, the defense argued, because </w:t>
      </w:r>
      <w:proofErr w:type="gramStart"/>
      <w:r>
        <w:t>at the moment</w:t>
      </w:r>
      <w:proofErr w:type="gramEnd"/>
      <w:r>
        <w:t xml:space="preserve"> of its enunciation, the area had not yet entered fully into the European epistemic empire. Precisely because it had not been properly mapped, it was not yet a transparent space of state power.</w:t>
      </w:r>
    </w:p>
    <w:p w14:paraId="29114E54" w14:textId="77777777" w:rsidR="00076776" w:rsidRDefault="00076776"/>
    <w:p w14:paraId="17F6A2D7" w14:textId="77777777" w:rsidR="00076776" w:rsidRDefault="00000000">
      <w:r>
        <w:t>479 @Narr@SettPsych@Polity@Ontol@SpacePlace@Map@Law</w:t>
      </w:r>
    </w:p>
    <w:p w14:paraId="6BD1E007" w14:textId="77777777" w:rsidR="00076776" w:rsidRDefault="00000000">
      <w:pPr>
        <w:ind w:left="720"/>
      </w:pPr>
      <w:r>
        <w:t xml:space="preserve">Nations, as it is commonly noted, tend thus to celebrate their supposed age rather than their remarkable youth. And yet here were the administrators and defenders of the nation-state trying to pull forward the space of the properly Canadian past so that a historic part of state law could not be judged to apply to what was nonetheless repeatedly referred to as “British Columbia.” In short, with their supplementary appeal to the colonial law of </w:t>
      </w:r>
      <w:r>
        <w:lastRenderedPageBreak/>
        <w:t>the Royal Proclamation, the Gitxsan and Wet’suwet’en provoked a struggle over “the disposition of space and time from which the narrative of nation must begin” (Bhabha 1994:115).</w:t>
      </w:r>
    </w:p>
    <w:p w14:paraId="6D8C6925" w14:textId="77777777" w:rsidR="00076776" w:rsidRDefault="00076776"/>
    <w:p w14:paraId="3EAAB357" w14:textId="77777777" w:rsidR="00076776" w:rsidRDefault="00000000">
      <w:r>
        <w:t>483 @</w:t>
      </w:r>
      <w:proofErr w:type="gramStart"/>
      <w:r>
        <w:t>L?@</w:t>
      </w:r>
      <w:proofErr w:type="gramEnd"/>
      <w:r>
        <w:t>SettPsych@Ontol@SpacePlace@SpaceTime</w:t>
      </w:r>
    </w:p>
    <w:p w14:paraId="35AEF709" w14:textId="77777777" w:rsidR="00076776" w:rsidRDefault="00000000">
      <w:r>
        <w:t xml:space="preserve">On the “fusion” of the settler concept of “Indigenous” into the historical record, </w:t>
      </w:r>
      <w:proofErr w:type="gramStart"/>
      <w:r>
        <w:t>in order to</w:t>
      </w:r>
      <w:proofErr w:type="gramEnd"/>
      <w:r>
        <w:t xml:space="preserve"> “naturalize” the personhood of the other as ultimately ahistorical: </w:t>
      </w:r>
    </w:p>
    <w:p w14:paraId="1447D35D" w14:textId="77777777" w:rsidR="00076776" w:rsidRDefault="00076776"/>
    <w:p w14:paraId="22844804" w14:textId="77777777" w:rsidR="00076776" w:rsidRDefault="00000000">
      <w:pPr>
        <w:ind w:left="720"/>
      </w:pPr>
      <w:r>
        <w:t xml:space="preserve">They are encapsulated thus not as an active history-making historical presence but rather as the prehistoric fabrications of modern archaeological research. Included in these objectifying terms, these peoples become inscribed with the geological and </w:t>
      </w:r>
      <w:proofErr w:type="spellStart"/>
      <w:r>
        <w:t>paleobotanical</w:t>
      </w:r>
      <w:proofErr w:type="spellEnd"/>
      <w:r>
        <w:t xml:space="preserve"> material in such a way that they are instrumentalized as a seemingly natural national foundation. The proleptic implication of this chronological foundation work is the notion that if there was no real, written record of history before the Europeans, there was nonetheless a territory that was somehow unified by “natural history” as Canadian.</w:t>
      </w:r>
    </w:p>
    <w:p w14:paraId="47CB81E4" w14:textId="77777777" w:rsidR="00076776" w:rsidRDefault="00076776"/>
    <w:p w14:paraId="6542E9C2" w14:textId="77777777" w:rsidR="00076776" w:rsidRDefault="00000000">
      <w:r>
        <w:t>486 @WIAM@Map@DoD@ManDest</w:t>
      </w:r>
    </w:p>
    <w:p w14:paraId="530EA0D3" w14:textId="77777777" w:rsidR="00076776" w:rsidRDefault="00000000">
      <w:pPr>
        <w:ind w:left="720"/>
      </w:pPr>
      <w:r>
        <w:rPr>
          <w:b/>
        </w:rPr>
        <w:t>The map as a technology of vision does indeed seem to naturalize this nationalization</w:t>
      </w:r>
      <w:r>
        <w:t>, concealing its abstracting work even as it turns the diversity of native geographies into a unifying common denominator for the whole of the territory of what is now Canada.</w:t>
      </w:r>
    </w:p>
    <w:p w14:paraId="733CA753" w14:textId="77777777" w:rsidR="00076776" w:rsidRDefault="00076776"/>
    <w:p w14:paraId="78EC11D6" w14:textId="77777777" w:rsidR="00076776" w:rsidRDefault="00000000">
      <w:pPr>
        <w:pStyle w:val="Heading2"/>
      </w:pPr>
      <w:r>
        <w:t>Secondary quotes</w:t>
      </w:r>
    </w:p>
    <w:p w14:paraId="13753428" w14:textId="77777777" w:rsidR="00076776" w:rsidRDefault="00000000">
      <w:r>
        <w:t xml:space="preserve">463 </w:t>
      </w:r>
      <w:r>
        <w:rPr>
          <w:highlight w:val="magenta"/>
        </w:rPr>
        <w:t>Ken Muldoe</w:t>
      </w:r>
      <w:r>
        <w:t xml:space="preserve">, the chief whose Gitxsan name </w:t>
      </w:r>
      <w:proofErr w:type="spellStart"/>
      <w:r>
        <w:t>Delgam</w:t>
      </w:r>
      <w:proofErr w:type="spellEnd"/>
      <w:r>
        <w:t xml:space="preserve"> Uukw, which became </w:t>
      </w:r>
      <w:r>
        <w:rPr>
          <w:i/>
        </w:rPr>
        <w:t>Delgamuukw v. the Queen</w:t>
      </w:r>
      <w:r>
        <w:t xml:space="preserve">, Trial Transcripts, vol. 108:6871) / “… 318 days of evidence and fifty-six days of closing argument… / 464 @Thesis “… </w:t>
      </w:r>
      <w:r>
        <w:rPr>
          <w:b/>
        </w:rPr>
        <w:t>this article focuses on how, as coinheritors of overlapping historical geographies</w:t>
      </w:r>
      <w:r>
        <w:t xml:space="preserve">, both these examples of national negotiation had much in common as graphic and, indeed, cartographic negotiations of the meanings of space, territory, and state jurisdiction. Critical to both were maps of national space, and </w:t>
      </w:r>
      <w:proofErr w:type="gramStart"/>
      <w:r>
        <w:t>clearly evident</w:t>
      </w:r>
      <w:proofErr w:type="gramEnd"/>
      <w:r>
        <w:t xml:space="preserve"> in both was the paradoxical capacity of such cartography to function variously for and against the exercise of modern state power.” / 465 “… </w:t>
      </w:r>
      <w:r>
        <w:rPr>
          <w:highlight w:val="magenta"/>
        </w:rPr>
        <w:t>Michel Foucault</w:t>
      </w:r>
      <w:r>
        <w:t xml:space="preserve"> (especially Foucault 1979 and 1980), political geographers are increasingly coming to terms with a considerably widened understanding of what counts as ‘the political.’”/  466 “… the new national maps of Saxton, Camden, and others were part and parcel of a civil and conceptual revolution in which it was made to seem </w:t>
      </w:r>
      <w:r>
        <w:rPr>
          <w:b/>
        </w:rPr>
        <w:t>as if the land itself spoke of the kingdom as a single state</w:t>
      </w:r>
      <w:r>
        <w:t xml:space="preserve">. [Helgerson quote] … </w:t>
      </w:r>
      <w:r>
        <w:rPr>
          <w:b/>
        </w:rPr>
        <w:t xml:space="preserve">Maps thus </w:t>
      </w:r>
      <w:proofErr w:type="gramStart"/>
      <w:r>
        <w:rPr>
          <w:b/>
        </w:rPr>
        <w:t>opened up</w:t>
      </w:r>
      <w:proofErr w:type="gramEnd"/>
      <w:r>
        <w:rPr>
          <w:b/>
        </w:rPr>
        <w:t xml:space="preserve"> a conceptual gap between the land and its ruler</w:t>
      </w:r>
      <w:r>
        <w:t xml:space="preserve">, a gap that would eventually span battlefields (1992:114).” </w:t>
      </w:r>
      <w:proofErr w:type="gramStart"/>
      <w:r>
        <w:t>/  477</w:t>
      </w:r>
      <w:proofErr w:type="gramEnd"/>
      <w:r>
        <w:t xml:space="preserve"> “Moreover, in his overall dismissal of the case, the Chief Justice not only measured the maps of the two First Nations in the terms of abstract state-space, </w:t>
      </w:r>
      <w:proofErr w:type="gramStart"/>
      <w:r>
        <w:t>he</w:t>
      </w:r>
      <w:proofErr w:type="gramEnd"/>
      <w:r>
        <w:t xml:space="preserve"> also imposed the same distant and disembodied under- standing of territory onto the whole question of life in the claimed territories. Despite all the work of the Gitxsan and Wet’suwet’en cartography, it did not seem to challenge the Chief Justice to reexamine his basic surveyor’s view of the land.</w:t>
      </w:r>
      <w:r>
        <w:rPr>
          <w:vertAlign w:val="superscript"/>
        </w:rPr>
        <w:t>9</w:t>
      </w:r>
      <w:r>
        <w:t xml:space="preserve">” / “… the </w:t>
      </w:r>
      <w:r>
        <w:rPr>
          <w:b/>
        </w:rPr>
        <w:t>Royal Proclamation</w:t>
      </w:r>
      <w:r>
        <w:t xml:space="preserve">, George III [1763] had declared that before any aboriginal lands could be taken by British subjects in the New World, the colonizers should have the informed consent of the aboriginal inhabitants. / 478 @OralEx@FFessay@Para@L? They could not simply deny that any such rights existed, as this </w:t>
      </w:r>
      <w:r>
        <w:lastRenderedPageBreak/>
        <w:t xml:space="preserve">would be a denial of Canadian law. Likewise, given the government’s own records, they could not reasonably argue that the Gitxsan and Wet’suwet’en had ever given informed consent. Instead, </w:t>
      </w:r>
      <w:r>
        <w:rPr>
          <w:b/>
        </w:rPr>
        <w:t>they found themselves in the peculiar and superficially anticolonial position of arguing that the colonial law of the Royal Proclamation did not apply to British Columbia</w:t>
      </w:r>
      <w:r>
        <w:t xml:space="preserve">. / 480 @SpaceTime@SpacePlace </w:t>
      </w:r>
      <w:r>
        <w:rPr>
          <w:b/>
          <w:highlight w:val="magenta"/>
        </w:rPr>
        <w:t>Bhabha</w:t>
      </w:r>
      <w:r>
        <w:rPr>
          <w:b/>
        </w:rPr>
        <w:t xml:space="preserve"> quote</w:t>
      </w:r>
      <w:r>
        <w:t xml:space="preserve">: For the political unity of the nation consists in a continual displacement of the anxiety of its irredeemably plural modern space—representing the nation’s modern territoriality is turned into the archaic, atavistic temporality of Traditionalism. The difference of Space returns as the sameness of time, turning territory into Tradition, turning the People into One (Bhabha 1994:149). / 483 “Bhabha in which the “difference of Space returns as the sameness of time, turning territory into Tradition, turning the People into One” (1994:149). … </w:t>
      </w:r>
      <w:r>
        <w:rPr>
          <w:b/>
        </w:rPr>
        <w:t>the chronology brings this singularizing narrative of a nation rooted in time into question.</w:t>
      </w:r>
      <w:r>
        <w:t xml:space="preserve">” / “… the </w:t>
      </w:r>
      <w:r>
        <w:rPr>
          <w:b/>
        </w:rPr>
        <w:t>cartographic performance of the chronology</w:t>
      </w:r>
      <w:r>
        <w:t xml:space="preserve"> </w:t>
      </w:r>
      <w:r>
        <w:rPr>
          <w:b/>
        </w:rPr>
        <w:t>brings this singularizing narrative of a nation rooted in time into question</w:t>
      </w:r>
      <w:r>
        <w:t xml:space="preserve">.” / 487 </w:t>
      </w:r>
      <w:proofErr w:type="gramStart"/>
      <w:r>
        <w:t>“ …</w:t>
      </w:r>
      <w:proofErr w:type="gramEnd"/>
      <w:r>
        <w:t>Ged Martin, notes, “the future United States can be treated as a kind of ‘</w:t>
      </w:r>
      <w:r>
        <w:rPr>
          <w:b/>
        </w:rPr>
        <w:t>Here Dragons Be’</w:t>
      </w:r>
      <w:r>
        <w:t xml:space="preserve"> … / 488 @Thesis@Perf Not sure I understand this, exactly: “</w:t>
      </w:r>
      <w:r>
        <w:rPr>
          <w:b/>
        </w:rPr>
        <w:t>My critical point about Bhabha’s thesis</w:t>
      </w:r>
      <w:r>
        <w:t xml:space="preserve"> should now be clear. If national pedagogy is always linked with the timing of historicism, while performance is always affiliated with the disruptive putting in place of such traditional teaching, where is there room for a critical account of the nation-</w:t>
      </w:r>
      <w:proofErr w:type="spellStart"/>
      <w:r>
        <w:t>enframing</w:t>
      </w:r>
      <w:proofErr w:type="spellEnd"/>
      <w:r>
        <w:t xml:space="preserve"> effects of spatial abstraction?” / 489 </w:t>
      </w:r>
      <w:r>
        <w:rPr>
          <w:highlight w:val="magenta"/>
        </w:rPr>
        <w:t>Derrida and Hegel</w:t>
      </w:r>
      <w:r>
        <w:t xml:space="preserve"> appear…. / @Arg@Irony@Law@SettPsych </w:t>
      </w:r>
      <w:r>
        <w:rPr>
          <w:b/>
        </w:rPr>
        <w:t>The whole paper in a nutshell</w:t>
      </w:r>
      <w:r>
        <w:t xml:space="preserve">: “Despite all their efforts to disrupt the game by playing it—by inserting their claims into the terms of the dominant discourse—the Wet’suwet’en and Gitxsan were finally rebuked and lectured by an umpire-judge who dredged up most of the more offensive </w:t>
      </w:r>
      <w:r>
        <w:rPr>
          <w:highlight w:val="magenta"/>
        </w:rPr>
        <w:t>Hobbesian</w:t>
      </w:r>
      <w:r>
        <w:t xml:space="preserve"> images of natives as primitive children in the process. His was a form of </w:t>
      </w:r>
      <w:r>
        <w:rPr>
          <w:b/>
        </w:rPr>
        <w:t>paternalistic national pedagogy</w:t>
      </w:r>
      <w:r>
        <w:t xml:space="preserve"> that could persist through evident performative contradictions: claiming Crown ownership of territory in a federal Canadian state at one moment, while even denying Crown knowledge of territory in the next. Throughout, however, the spatial abstractions of the modern state were assumed, and while the two First Nations mapped their own claims into the terms of this dominant discourse, their resistance was recoded as inaccurate and </w:t>
      </w:r>
      <w:proofErr w:type="spellStart"/>
      <w:r>
        <w:t>ungeographical</w:t>
      </w:r>
      <w:proofErr w:type="spellEnd"/>
      <w:r>
        <w:t xml:space="preserve">. The roaring map depicted by Monet seemed to be </w:t>
      </w:r>
      <w:r>
        <w:rPr>
          <w:b/>
        </w:rPr>
        <w:t xml:space="preserve">thereby </w:t>
      </w:r>
      <w:proofErr w:type="spellStart"/>
      <w:r>
        <w:rPr>
          <w:b/>
        </w:rPr>
        <w:t>recaged</w:t>
      </w:r>
      <w:proofErr w:type="spellEnd"/>
      <w:r>
        <w:t xml:space="preserve">. If there was a </w:t>
      </w:r>
      <w:r>
        <w:rPr>
          <w:b/>
        </w:rPr>
        <w:t>contrapuntal</w:t>
      </w:r>
      <w:r>
        <w:t xml:space="preserve"> aspect to the trial, it was a very strange and strained kind of music, the record of which was marked by resistant roars </w:t>
      </w:r>
      <w:proofErr w:type="gramStart"/>
      <w:r>
        <w:t>in the midst of</w:t>
      </w:r>
      <w:proofErr w:type="gramEnd"/>
      <w:r>
        <w:t xml:space="preserve"> the solemn sounds of legal proceduralism. / 490 “</w:t>
      </w:r>
      <w:r>
        <w:rPr>
          <w:b/>
        </w:rPr>
        <w:t xml:space="preserve">The </w:t>
      </w:r>
      <w:r>
        <w:rPr>
          <w:b/>
          <w:i/>
        </w:rPr>
        <w:t>Atlas</w:t>
      </w:r>
      <w:r>
        <w:rPr>
          <w:b/>
        </w:rPr>
        <w:t>, it must be countered, does more than pretend. It does question and probe.</w:t>
      </w:r>
      <w:r>
        <w:t xml:space="preserve"> And yet as it does so, it also carves out what must also be acknowledged is both a hegemonic and pedagogic national place for both “self and other” in north- ern North America.” / </w:t>
      </w:r>
    </w:p>
    <w:p w14:paraId="125EAE49" w14:textId="77777777" w:rsidR="00076776" w:rsidRDefault="00076776"/>
    <w:p w14:paraId="5550F27F" w14:textId="77777777" w:rsidR="00076776" w:rsidRDefault="00000000">
      <w:pPr>
        <w:pStyle w:val="Heading2"/>
      </w:pPr>
      <w:r>
        <w:t>Notes</w:t>
      </w:r>
    </w:p>
    <w:p w14:paraId="1D73D305" w14:textId="77777777" w:rsidR="00076776" w:rsidRDefault="00076776"/>
    <w:p w14:paraId="7F733B55" w14:textId="77777777" w:rsidR="00076776" w:rsidRDefault="00000000">
      <w:r>
        <w:t>467 @Boom@Diss@FFessay@</w:t>
      </w:r>
      <w:proofErr w:type="gramStart"/>
      <w:r>
        <w:t>Motherlode!@</w:t>
      </w:r>
      <w:proofErr w:type="gramEnd"/>
      <w:r>
        <w:t>KTerm@Poco@Decol</w:t>
      </w:r>
    </w:p>
    <w:p w14:paraId="02B827E4" w14:textId="77777777" w:rsidR="00076776" w:rsidRDefault="00000000">
      <w:r>
        <w:t>Great source for my term of “</w:t>
      </w:r>
      <w:proofErr w:type="spellStart"/>
      <w:r>
        <w:rPr>
          <w:b/>
        </w:rPr>
        <w:t>contracolonial</w:t>
      </w:r>
      <w:proofErr w:type="spellEnd"/>
      <w:r>
        <w:rPr>
          <w:b/>
        </w:rPr>
        <w:t xml:space="preserve"> toponomy</w:t>
      </w:r>
      <w:r>
        <w:t xml:space="preserve">” and critical to my articulations on toponyms… </w:t>
      </w:r>
    </w:p>
    <w:p w14:paraId="6DDEFA9E" w14:textId="77777777" w:rsidR="00076776" w:rsidRDefault="00076776"/>
    <w:p w14:paraId="1E41605C" w14:textId="77777777" w:rsidR="00076776" w:rsidRDefault="00000000">
      <w:pPr>
        <w:ind w:left="720"/>
      </w:pPr>
      <w:r>
        <w:t xml:space="preserve">Nevertheless, her [Jane Jacobs] keen attention to cartographic destabilization through remapping illustrates and introduces the concept-metaphor I call “contrapuntal cartographies.” // The notion of a contrapuntal reading of cartography is drawn from Edward Said, who uses the musical metaphor to break down singularized and unidirectional understandings of the culture of imperialism (1993). Reading </w:t>
      </w:r>
      <w:r>
        <w:lastRenderedPageBreak/>
        <w:t xml:space="preserve">contrapuntally, argues Said, involves “a simultaneous awareness both of the metropolitan history that is narrated and of those other histories against which (and together with which) the dominating discourse acts” (1993:51). Said thus reworks the formal musical meaning of the term, suggesting that a contrapuntal interpretation involves </w:t>
      </w:r>
      <w:r>
        <w:rPr>
          <w:b/>
        </w:rPr>
        <w:t>a strategic revoicing of the subdominant</w:t>
      </w:r>
      <w:r>
        <w:t xml:space="preserve"> </w:t>
      </w:r>
      <w:r>
        <w:rPr>
          <w:b/>
        </w:rPr>
        <w:t>to make it equal to the dominant</w:t>
      </w:r>
      <w:r>
        <w:t xml:space="preserve"> and thus to orchestrate a balance that can potentially edify and educate an audience about the power relations of culture.</w:t>
      </w:r>
    </w:p>
    <w:p w14:paraId="4D1A7579" w14:textId="77777777" w:rsidR="00076776" w:rsidRDefault="00076776"/>
    <w:p w14:paraId="0B198AD0" w14:textId="77777777" w:rsidR="00076776" w:rsidRDefault="00000000">
      <w:r>
        <w:t>487 K?</w:t>
      </w:r>
    </w:p>
    <w:p w14:paraId="6DEEF798" w14:textId="77777777" w:rsidR="00076776" w:rsidRDefault="00000000">
      <w:r>
        <w:t>So, if Indigenous Peoples were “granted” nationhood, would they, too, be a third, homogenized region as a foil against the US?</w:t>
      </w:r>
    </w:p>
    <w:p w14:paraId="039D7E9B" w14:textId="77777777" w:rsidR="00076776" w:rsidRDefault="00000000">
      <w:pPr>
        <w:ind w:left="720"/>
      </w:pPr>
      <w:proofErr w:type="gramStart"/>
      <w:r>
        <w:t>The end result</w:t>
      </w:r>
      <w:proofErr w:type="gramEnd"/>
      <w:r>
        <w:t xml:space="preserve"> is still a narrative of nation, but it is one in which the duality and, beyond this, the geographic diversity of regionalization is abstracted into the nationalist project of interstate comparison. In the process of this abstraction-through-comparison, Canada’s delineation in terms of </w:t>
      </w:r>
      <w:proofErr w:type="spellStart"/>
      <w:r>
        <w:t>nonsingularity</w:t>
      </w:r>
      <w:proofErr w:type="spellEnd"/>
      <w:r>
        <w:t xml:space="preserve"> comes to </w:t>
      </w:r>
      <w:proofErr w:type="spellStart"/>
      <w:r>
        <w:t>enframe</w:t>
      </w:r>
      <w:proofErr w:type="spellEnd"/>
      <w:r>
        <w:t xml:space="preserve"> and thus ensure its distinction from a homogenized U.S.</w:t>
      </w:r>
    </w:p>
    <w:p w14:paraId="4C0EA180" w14:textId="77777777" w:rsidR="00076776" w:rsidRDefault="00076776"/>
    <w:p w14:paraId="6856973F" w14:textId="77777777" w:rsidR="00076776" w:rsidRDefault="00000000">
      <w:pPr>
        <w:pStyle w:val="Heading1"/>
      </w:pPr>
      <w:bookmarkStart w:id="32" w:name="_heading=h.147n2zr" w:colFirst="0" w:colLast="0"/>
      <w:bookmarkEnd w:id="32"/>
      <w:r>
        <w:t>(2008) Cosgrove, “Cultural Cartography: Maps and Mapping in Cultural Geography”</w:t>
      </w:r>
    </w:p>
    <w:p w14:paraId="5CF52D5E" w14:textId="77777777" w:rsidR="00076776" w:rsidRDefault="00076776"/>
    <w:p w14:paraId="44DA550D" w14:textId="77777777" w:rsidR="00076776" w:rsidRDefault="00000000">
      <w:pPr>
        <w:pStyle w:val="Heading2"/>
      </w:pPr>
      <w:r>
        <w:t>Abstract</w:t>
      </w:r>
    </w:p>
    <w:p w14:paraId="06FDAEC4" w14:textId="77777777" w:rsidR="00076776" w:rsidRDefault="00000000">
      <w:r>
        <w:t xml:space="preserve">Cosgrove’s handy survey of the shift in cartographic theory and practices, with a look at influences of technology and art in the same. </w:t>
      </w:r>
    </w:p>
    <w:p w14:paraId="4D263CEA" w14:textId="77777777" w:rsidR="00076776" w:rsidRDefault="00076776"/>
    <w:p w14:paraId="4EFBC130" w14:textId="77777777" w:rsidR="00076776" w:rsidRDefault="00000000">
      <w:pPr>
        <w:pStyle w:val="Heading2"/>
      </w:pPr>
      <w:r>
        <w:t>Key words</w:t>
      </w:r>
    </w:p>
    <w:p w14:paraId="2B2F22A9" w14:textId="77777777" w:rsidR="00076776" w:rsidRDefault="00000000">
      <w:r>
        <w:t>cultural geography, cartography, map, mapping, map art, site specific art, history of cartography</w:t>
      </w:r>
    </w:p>
    <w:p w14:paraId="4A51672A" w14:textId="77777777" w:rsidR="00076776" w:rsidRDefault="00076776"/>
    <w:p w14:paraId="2FEF91D2" w14:textId="77777777" w:rsidR="00076776" w:rsidRDefault="00000000">
      <w:pPr>
        <w:pStyle w:val="Heading2"/>
      </w:pPr>
      <w:r>
        <w:t>Essential quote</w:t>
      </w:r>
    </w:p>
    <w:p w14:paraId="14B9FDC8" w14:textId="77777777" w:rsidR="00076776" w:rsidRDefault="00000000">
      <w:r>
        <w:t xml:space="preserve">166: … [Historians] have begun to recognize the early-modern map as much more than a way-finding device or a record of discovery, but a representational machine for archiving and classifying a wide range of geographic and ethnographic material and rhetorical medium for establishing various claims to truth and authority. </w:t>
      </w:r>
    </w:p>
    <w:p w14:paraId="3E49A8FD" w14:textId="77777777" w:rsidR="00076776" w:rsidRDefault="00076776"/>
    <w:p w14:paraId="2AE4C8C1" w14:textId="77777777" w:rsidR="00076776" w:rsidRDefault="00000000">
      <w:pPr>
        <w:pStyle w:val="Heading2"/>
      </w:pPr>
      <w:r>
        <w:t>Terms</w:t>
      </w:r>
    </w:p>
    <w:p w14:paraId="25F65B99" w14:textId="77777777" w:rsidR="00076776" w:rsidRDefault="00000000">
      <w:r>
        <w:rPr>
          <w:highlight w:val="green"/>
        </w:rPr>
        <w:t>160</w:t>
      </w:r>
      <w:r>
        <w:t xml:space="preserve">: </w:t>
      </w:r>
      <w:r>
        <w:rPr>
          <w:b/>
        </w:rPr>
        <w:t>map</w:t>
      </w:r>
      <w:r>
        <w:t xml:space="preserve">: [@WIAM@Map@Reason@SciEnv@@Ontol@Motherlode!] “… maps mediate between the visible and the absent while introducing a sense of the processes under way in front of the map user and viewer. [165-66] Maps take a wide variety of material forms and thus fall within the remit of both the cultural history of representation and of things. They cannot be understood or interpreted outside the cultural context in which they are produced, circulate and are used. … </w:t>
      </w:r>
      <w:r>
        <w:rPr>
          <w:highlight w:val="red"/>
        </w:rPr>
        <w:t>[Historians]</w:t>
      </w:r>
      <w:r>
        <w:t xml:space="preserve"> </w:t>
      </w:r>
      <w:r>
        <w:rPr>
          <w:highlight w:val="red"/>
        </w:rPr>
        <w:t xml:space="preserve">have begun to recognize the early-modern map as much more than a way-finding device or a record of discovery, but a representational machine for archiving and </w:t>
      </w:r>
      <w:r>
        <w:rPr>
          <w:highlight w:val="red"/>
        </w:rPr>
        <w:lastRenderedPageBreak/>
        <w:t>classifying a wide range of geographic and ethnographic material and rhetorical medium for establishing various claims to truth and authority.</w:t>
      </w:r>
      <w:r>
        <w:t xml:space="preserve"> [177] ““mapping” in the expanded sense in which cultural geographers now use it: organizing, documenting and representing spatial knowledge in graphic form.”</w:t>
      </w:r>
    </w:p>
    <w:p w14:paraId="7724BAFF" w14:textId="77777777" w:rsidR="00076776" w:rsidRDefault="00000000">
      <w:r>
        <w:t xml:space="preserve">162: </w:t>
      </w:r>
      <w:r>
        <w:rPr>
          <w:b/>
        </w:rPr>
        <w:t>cultural turn</w:t>
      </w:r>
      <w:r>
        <w:t xml:space="preserve"> [in map making]: “… Paul Claval cites feminism, subaltern studies and post-colonialism as significant aspects of the cultural turn, together with a post-modern skepticism towards universalist claims of modem science, a rapprochement with the humanities and a focus on images.”</w:t>
      </w:r>
    </w:p>
    <w:p w14:paraId="5726AE3D" w14:textId="77777777" w:rsidR="00076776" w:rsidRDefault="00000000">
      <w:r>
        <w:rPr>
          <w:highlight w:val="green"/>
        </w:rPr>
        <w:t>165</w:t>
      </w:r>
      <w:r>
        <w:t xml:space="preserve">: </w:t>
      </w:r>
      <w:r>
        <w:rPr>
          <w:b/>
        </w:rPr>
        <w:t>immutable mobiles</w:t>
      </w:r>
      <w:r>
        <w:t xml:space="preserve">: “The term “immutable mobile” comes from the writings of Bruno Latour and refers to those material scientific objects (such as printed books and treatises) that allow ideas and information to move physically over space. The printed map as a graphic representation of spatial information is a classic example of the kind of instrument Latour is referring to. [Bruno Latour, Science in Action, Cambridge, MA: Harvard University Press, 1987.] … play a significant role in the spatial transfer of knowledge and thus deploy various rhetorics </w:t>
      </w:r>
      <w:proofErr w:type="gramStart"/>
      <w:r>
        <w:t>in order to</w:t>
      </w:r>
      <w:proofErr w:type="gramEnd"/>
      <w:r>
        <w:t xml:space="preserve"> command trust. </w:t>
      </w:r>
    </w:p>
    <w:p w14:paraId="01F73FB1" w14:textId="77777777" w:rsidR="00076776" w:rsidRDefault="00000000">
      <w:r>
        <w:t>168</w:t>
      </w:r>
      <w:r>
        <w:rPr>
          <w:b/>
        </w:rPr>
        <w:t>: cartographic semiotics</w:t>
      </w:r>
      <w:r>
        <w:t xml:space="preserve">: [@WIAM@Aes@Art@Map][Classical philologist Christian] Jacob’s belief that cartographic interpretation should shift from a “transparent” view of the map as a neutral, informative transfer of external information into the simplified classificatory frame of the map sheet, conducted with the intention of achieving “an ideal correspondence of the world and its image”, to an “opaque” view of the map which takes account of the selections, omissions, additions and inescapable contextual influences which shape the outcome of such transfers. </w:t>
      </w:r>
      <w:r>
        <w:rPr>
          <w:b/>
        </w:rPr>
        <w:t>Mapping is a process which involves</w:t>
      </w:r>
      <w:r>
        <w:t xml:space="preserve"> both a “complex architecture of signs”: graphic elements with internal forms and logics capable of theoretical disconnection from any geographical reference, and a “</w:t>
      </w:r>
      <w:r>
        <w:rPr>
          <w:b/>
        </w:rPr>
        <w:t>visual architecture</w:t>
      </w:r>
      <w:r>
        <w:t>” through which the worlds they construct are selected, translated, organized and shaped.”</w:t>
      </w:r>
    </w:p>
    <w:p w14:paraId="05532180" w14:textId="77777777" w:rsidR="00076776" w:rsidRDefault="00000000">
      <w:r>
        <w:t xml:space="preserve">169: </w:t>
      </w:r>
      <w:r>
        <w:rPr>
          <w:b/>
        </w:rPr>
        <w:t>cartography</w:t>
      </w:r>
      <w:r>
        <w:t xml:space="preserve">: “… a </w:t>
      </w:r>
      <w:proofErr w:type="gramStart"/>
      <w:r>
        <w:t>fairly recent</w:t>
      </w:r>
      <w:proofErr w:type="gramEnd"/>
      <w:r>
        <w:t xml:space="preserve"> neologism, coined in 1839 by the Portuguese scholar Viscount de Santarem. Its appeal over the more mundane “map-making” is explained by the professionalization of map production in an era when European states were developing topographical map series for the purposes of defining and defending the national territory, and using statistical mapping as a bureaucratic, regulatory and planning device.” </w:t>
      </w:r>
    </w:p>
    <w:p w14:paraId="6138E7D1" w14:textId="77777777" w:rsidR="00076776" w:rsidRDefault="00000000">
      <w:r>
        <w:t xml:space="preserve">174: </w:t>
      </w:r>
      <w:r>
        <w:rPr>
          <w:b/>
        </w:rPr>
        <w:t>cognitive mapping</w:t>
      </w:r>
      <w:r>
        <w:t xml:space="preserve">: “Surrealism’s psychological interests in the image paralleled mid-century advances in cognitive psychology in challenging conventional assumptions about the transparency of representational images and emphasize importance of individual and social perceptions. Its engagement with everyday life would find echoes in the scientific concept of cognitive mapping that developed in the late 1950s and would prove an important foundation for the epistemological concerns of subsequent cultural geographers.” </w:t>
      </w:r>
    </w:p>
    <w:p w14:paraId="5F22363A" w14:textId="77777777" w:rsidR="00076776" w:rsidRDefault="00000000">
      <w:r>
        <w:t xml:space="preserve">174: </w:t>
      </w:r>
      <w:r>
        <w:rPr>
          <w:b/>
        </w:rPr>
        <w:t>psychogeography</w:t>
      </w:r>
      <w:r>
        <w:t>: Guy Debord’s concept: “… was part of a radical response to the rationalist functionalist urban planning, heavily reliant on “scientific” mapping practices, that he believed was destroying the social and psychological well urban communities. Psychogeography was “the study of the specific effects of the geographical environment, consciously organized or not, on the emotions and behavior of individuals”</w:t>
      </w:r>
      <w:r>
        <w:rPr>
          <w:vertAlign w:val="superscript"/>
        </w:rPr>
        <w:t>44</w:t>
      </w:r>
      <w:r>
        <w:t xml:space="preserve">. [Guy Debord, quoted in Wollen, “Mappings. Situationists and/or conceptualists”. p. 30.] </w:t>
      </w:r>
    </w:p>
    <w:p w14:paraId="3E874A8D" w14:textId="77777777" w:rsidR="00076776" w:rsidRDefault="00000000">
      <w:r>
        <w:t xml:space="preserve">174 </w:t>
      </w:r>
      <w:proofErr w:type="spellStart"/>
      <w:r>
        <w:rPr>
          <w:b/>
          <w:i/>
        </w:rPr>
        <w:t>dérive</w:t>
      </w:r>
      <w:proofErr w:type="spellEnd"/>
      <w:r>
        <w:rPr>
          <w:b/>
        </w:rPr>
        <w:t xml:space="preserve"> &amp; unitary urbanism</w:t>
      </w:r>
      <w:r>
        <w:t xml:space="preserve"> “… connected practice urban </w:t>
      </w:r>
      <w:proofErr w:type="spellStart"/>
      <w:r>
        <w:rPr>
          <w:i/>
        </w:rPr>
        <w:t>dérive</w:t>
      </w:r>
      <w:proofErr w:type="spellEnd"/>
      <w:r>
        <w:t xml:space="preserve"> or drift, intended to generate chance encounters and provocative interactions with other individuals, involved a kind of subversive survey of urban space that both stimulated and recorded “transient through varied ambiances. … The </w:t>
      </w:r>
      <w:proofErr w:type="spellStart"/>
      <w:r>
        <w:t>dérive</w:t>
      </w:r>
      <w:proofErr w:type="spellEnd"/>
      <w:r>
        <w:t xml:space="preserve"> was intimately connected to Debord’s third concept of unitary </w:t>
      </w:r>
      <w:r>
        <w:lastRenderedPageBreak/>
        <w:t xml:space="preserve">urbanism: “the combined use of the arts and techniques for the construction — or preservation — of environments in which the </w:t>
      </w:r>
      <w:proofErr w:type="spellStart"/>
      <w:r>
        <w:rPr>
          <w:i/>
        </w:rPr>
        <w:t>dérive</w:t>
      </w:r>
      <w:proofErr w:type="spellEnd"/>
      <w:r>
        <w:t xml:space="preserve"> and </w:t>
      </w:r>
      <w:proofErr w:type="spellStart"/>
      <w:r>
        <w:t>psychogeographical</w:t>
      </w:r>
      <w:proofErr w:type="spellEnd"/>
      <w:r>
        <w:t xml:space="preserve"> experiments would prosper”</w:t>
      </w:r>
      <w:r>
        <w:rPr>
          <w:vertAlign w:val="superscript"/>
        </w:rPr>
        <w:t>45</w:t>
      </w:r>
      <w:r>
        <w:t>.</w:t>
      </w:r>
      <w:r>
        <w:br/>
      </w:r>
    </w:p>
    <w:p w14:paraId="6743EA3F" w14:textId="77777777" w:rsidR="00076776" w:rsidRDefault="00000000">
      <w:pPr>
        <w:pStyle w:val="Heading2"/>
      </w:pPr>
      <w:r>
        <w:t>Core quotes</w:t>
      </w:r>
    </w:p>
    <w:p w14:paraId="337E69B9" w14:textId="77777777" w:rsidR="00076776" w:rsidRDefault="00076776"/>
    <w:p w14:paraId="13AABB32" w14:textId="77777777" w:rsidR="00076776" w:rsidRDefault="00000000">
      <w:r>
        <w:t>160 @Map@Ontol@Reason@SciEnv</w:t>
      </w:r>
    </w:p>
    <w:p w14:paraId="17DC309A" w14:textId="77777777" w:rsidR="00076776" w:rsidRDefault="00000000">
      <w:r>
        <w:t xml:space="preserve">Illustrates the complex nature of “maps” when they hit cultural flashpoints: </w:t>
      </w:r>
    </w:p>
    <w:p w14:paraId="754149B3" w14:textId="77777777" w:rsidR="00076776" w:rsidRDefault="00076776"/>
    <w:p w14:paraId="64B55C59" w14:textId="77777777" w:rsidR="00076776" w:rsidRDefault="00000000">
      <w:pPr>
        <w:ind w:left="720"/>
      </w:pPr>
      <w:r>
        <w:t xml:space="preserve">Rather, Kurgan’s mapping project serves here to introduce a broader set of questions that bear upon the role and relations of cartography in the context of contemporary cultural geography. While accurately documenting and plotting spatial data, the Ground Zero map makes no claim to scientific accuracy or objectivity; it is not professional cartography. Like a </w:t>
      </w:r>
      <w:proofErr w:type="gramStart"/>
      <w:r>
        <w:t>guide-book</w:t>
      </w:r>
      <w:proofErr w:type="gramEnd"/>
      <w:r>
        <w:t xml:space="preserve"> or transit map, it was an ephemeral product, intended for </w:t>
      </w:r>
      <w:r>
        <w:rPr>
          <w:b/>
        </w:rPr>
        <w:t>immediate practical use</w:t>
      </w:r>
      <w:r>
        <w:t>, to be readily disposed of or destroyed in the process of use rather than archived as documentary evidence of geographical data</w:t>
      </w:r>
      <w:r>
        <w:rPr>
          <w:vertAlign w:val="superscript"/>
        </w:rPr>
        <w:t>1</w:t>
      </w:r>
      <w:r>
        <w:t>. It was also an artistic project, a site specific and performative work intended as a direct intervention into the everyday (if temporarily disrupted and uncanny) life of the city, a way of “taking the measure” of the event</w:t>
      </w:r>
      <w:r>
        <w:rPr>
          <w:vertAlign w:val="superscript"/>
        </w:rPr>
        <w:t>2</w:t>
      </w:r>
      <w:r>
        <w:t xml:space="preserve">. </w:t>
      </w:r>
    </w:p>
    <w:p w14:paraId="1CA4B9FF" w14:textId="77777777" w:rsidR="00076776" w:rsidRDefault="00076776"/>
    <w:p w14:paraId="7680222E" w14:textId="77777777" w:rsidR="00076776" w:rsidRDefault="00000000">
      <w:pPr>
        <w:numPr>
          <w:ilvl w:val="0"/>
          <w:numId w:val="3"/>
        </w:numPr>
        <w:pBdr>
          <w:top w:val="nil"/>
          <w:left w:val="nil"/>
          <w:bottom w:val="nil"/>
          <w:right w:val="nil"/>
          <w:between w:val="nil"/>
        </w:pBdr>
        <w:rPr>
          <w:color w:val="000000"/>
        </w:rPr>
      </w:pPr>
      <w:r>
        <w:rPr>
          <w:color w:val="000000"/>
        </w:rPr>
        <w:t xml:space="preserve">Catherine Delano-Smith, “The map as a commodity”, in D. Woodward, C. Delano-Smith, Cordell D.K. Yee (eds.), Approaches and challenges in a Worldwide history of cartography, Barcelona, </w:t>
      </w:r>
      <w:proofErr w:type="spellStart"/>
      <w:r>
        <w:rPr>
          <w:color w:val="000000"/>
        </w:rPr>
        <w:t>Institut</w:t>
      </w:r>
      <w:proofErr w:type="spellEnd"/>
      <w:r>
        <w:rPr>
          <w:color w:val="000000"/>
        </w:rPr>
        <w:t xml:space="preserve"> </w:t>
      </w:r>
      <w:proofErr w:type="spellStart"/>
      <w:r>
        <w:rPr>
          <w:color w:val="000000"/>
        </w:rPr>
        <w:t>Cartogràfic</w:t>
      </w:r>
      <w:proofErr w:type="spellEnd"/>
      <w:r>
        <w:rPr>
          <w:color w:val="000000"/>
        </w:rPr>
        <w:t xml:space="preserve"> de Catalunya, 2001, p. 91-110</w:t>
      </w:r>
    </w:p>
    <w:p w14:paraId="2CAC47E8" w14:textId="77777777" w:rsidR="00076776" w:rsidRDefault="00076776"/>
    <w:p w14:paraId="684F593C" w14:textId="77777777" w:rsidR="00076776" w:rsidRDefault="00000000">
      <w:r>
        <w:rPr>
          <w:highlight w:val="green"/>
        </w:rPr>
        <w:t xml:space="preserve">K? Is it ever possible for a map to have “immediate </w:t>
      </w:r>
      <w:r>
        <w:rPr>
          <w:i/>
          <w:highlight w:val="green"/>
        </w:rPr>
        <w:t>practical</w:t>
      </w:r>
      <w:r>
        <w:rPr>
          <w:highlight w:val="green"/>
        </w:rPr>
        <w:t xml:space="preserve"> use,”</w:t>
      </w:r>
      <w:r>
        <w:t xml:space="preserve"> any more than it is possible to have “neutral” technologies? Perhaps, </w:t>
      </w:r>
      <w:proofErr w:type="gramStart"/>
      <w:r>
        <w:t>whether or not</w:t>
      </w:r>
      <w:proofErr w:type="gramEnd"/>
      <w:r>
        <w:t xml:space="preserve"> we choose to notice it, or the degree that we </w:t>
      </w:r>
      <w:r>
        <w:rPr>
          <w:i/>
        </w:rPr>
        <w:t>can</w:t>
      </w:r>
      <w:r>
        <w:t xml:space="preserve"> notice it in the frisson of feeling “displaced,” maps will always reify the ontological, even in cases that appear as purely wayfinding. Put another way, the emotional excitement or distress of being lost </w:t>
      </w:r>
      <w:r>
        <w:rPr>
          <w:i/>
        </w:rPr>
        <w:t>requires</w:t>
      </w:r>
      <w:r>
        <w:t xml:space="preserve"> a knowledge of being found </w:t>
      </w:r>
      <w:proofErr w:type="gramStart"/>
      <w:r>
        <w:t>in order to</w:t>
      </w:r>
      <w:proofErr w:type="gramEnd"/>
      <w:r>
        <w:t xml:space="preserve"> exist, and the extent to which one feels “at home,” or “found,” is proportional to certitude of one’s position, or location, in one’s narrativity of place. It is impossible to be lost in an ontological vacuum. Cosgrove: “They cannot be understood or interpreted outside the cultural context in which they are produced, circulate and are used” (165-66). </w:t>
      </w:r>
    </w:p>
    <w:p w14:paraId="471F375A" w14:textId="77777777" w:rsidR="00076776" w:rsidRDefault="00000000">
      <w:r>
        <w:t xml:space="preserve"> </w:t>
      </w:r>
    </w:p>
    <w:p w14:paraId="139B4865" w14:textId="77777777" w:rsidR="00076776" w:rsidRDefault="00000000">
      <w:r>
        <w:t>170 @TechDev@GIS@Map@Techtopia@Arg</w:t>
      </w:r>
    </w:p>
    <w:p w14:paraId="47351638" w14:textId="77777777" w:rsidR="00076776" w:rsidRDefault="00000000">
      <w:r>
        <w:t xml:space="preserve">Same old promises of </w:t>
      </w:r>
      <w:proofErr w:type="spellStart"/>
      <w:r>
        <w:t>techtopia</w:t>
      </w:r>
      <w:proofErr w:type="spellEnd"/>
      <w:r>
        <w:t xml:space="preserve">… </w:t>
      </w:r>
    </w:p>
    <w:p w14:paraId="5AA23FC7" w14:textId="77777777" w:rsidR="00076776" w:rsidRDefault="00076776"/>
    <w:p w14:paraId="1D75A28A" w14:textId="77777777" w:rsidR="00076776" w:rsidRDefault="00000000">
      <w:pPr>
        <w:ind w:left="720"/>
      </w:pPr>
      <w:r>
        <w:t xml:space="preserve">John Noble Wilford has claimed that the democratization of </w:t>
      </w:r>
      <w:proofErr w:type="spellStart"/>
      <w:r>
        <w:t>Geographie</w:t>
      </w:r>
      <w:proofErr w:type="spellEnd"/>
      <w:r>
        <w:t xml:space="preserve"> Information Systems has produced a new generation of “user cartographers” who are not formally trained cartography and who work often collectively. [171] … </w:t>
      </w:r>
      <w:r>
        <w:rPr>
          <w:i/>
        </w:rPr>
        <w:t>Google Earth</w:t>
      </w:r>
      <w:r>
        <w:t xml:space="preserve"> … We live today in the most cartographically rich culture in history: the map is ubiquitous in daily </w:t>
      </w:r>
      <w:proofErr w:type="gramStart"/>
      <w:r>
        <w:t>life, and</w:t>
      </w:r>
      <w:proofErr w:type="gramEnd"/>
      <w:r>
        <w:t xml:space="preserve"> increasingly comes within the capacity of its user to manipulate and transform.</w:t>
      </w:r>
    </w:p>
    <w:p w14:paraId="44E95B87" w14:textId="77777777" w:rsidR="00076776" w:rsidRDefault="00076776"/>
    <w:p w14:paraId="47692A40" w14:textId="77777777" w:rsidR="00076776" w:rsidRDefault="00000000">
      <w:r>
        <w:t>172 @Art@Map</w:t>
      </w:r>
    </w:p>
    <w:p w14:paraId="2886BBC8" w14:textId="77777777" w:rsidR="00076776" w:rsidRDefault="00000000">
      <w:pPr>
        <w:ind w:left="720"/>
      </w:pPr>
      <w:r>
        <w:t xml:space="preserve">But in many cases the concerns of artists parallel those of temporary cultural geographers and in recent years there has been an identifiable trend towards both groups to collaborate </w:t>
      </w:r>
      <w:r>
        <w:lastRenderedPageBreak/>
        <w:t>on common projects often involve maps, so that it is valuable for geographers to be aware the evolution of modem art’s interests in cartography and of the principal streams within the artistic avant-garde that have engaged with maps and mapping</w:t>
      </w:r>
    </w:p>
    <w:p w14:paraId="53DEBC06" w14:textId="77777777" w:rsidR="00076776" w:rsidRDefault="00076776"/>
    <w:p w14:paraId="22E02040" w14:textId="77777777" w:rsidR="00076776" w:rsidRDefault="00000000">
      <w:r>
        <w:t>174 @epistem@CultBias@Map</w:t>
      </w:r>
    </w:p>
    <w:p w14:paraId="0B420A93" w14:textId="77777777" w:rsidR="00076776" w:rsidRDefault="00000000">
      <w:pPr>
        <w:ind w:left="720"/>
      </w:pPr>
      <w:r>
        <w:t xml:space="preserve">Ability to recognize and understand map images was found to be and cultural rather than a function of the map’s scientific objectivity and design clarity. </w:t>
      </w:r>
    </w:p>
    <w:p w14:paraId="7F9C5C46" w14:textId="77777777" w:rsidR="00076776" w:rsidRDefault="00076776"/>
    <w:p w14:paraId="2C8CF672" w14:textId="77777777" w:rsidR="00076776" w:rsidRDefault="00000000">
      <w:r>
        <w:t>177 @Art@Map@ScieEnv@Epistem@Perf</w:t>
      </w:r>
    </w:p>
    <w:p w14:paraId="36D74769" w14:textId="77777777" w:rsidR="00076776" w:rsidRDefault="00000000">
      <w:pPr>
        <w:ind w:left="720"/>
      </w:pPr>
      <w:r>
        <w:t xml:space="preserve">While site specific and community art projects may not always incorporate cartography in its conventional sense, they all involve “mapping” in the expanded sense in which cultural geographers now use it: organizing, documenting and representing spatial knowledge in graphic form. Artistic goals closely parallel those of many contemporary cultural geographers, as scholar and scientist converge in the aftermath of deconstruction, which has been as effective in reshaping what constitutes art as in reshaping science. [178] … The traditionally separate disciplinary projects of geography and art thus overlap and converge in exciting ways, and nowhere is this more expressed than in map work. </w:t>
      </w:r>
    </w:p>
    <w:p w14:paraId="7BDB525F" w14:textId="77777777" w:rsidR="00076776" w:rsidRDefault="00076776"/>
    <w:p w14:paraId="27F3EE70" w14:textId="77777777" w:rsidR="00076776" w:rsidRDefault="00000000">
      <w:pPr>
        <w:pStyle w:val="Heading2"/>
      </w:pPr>
      <w:r>
        <w:t>Secondary quotes</w:t>
      </w:r>
    </w:p>
    <w:p w14:paraId="540F1621" w14:textId="77777777" w:rsidR="00076776" w:rsidRDefault="00076776">
      <w:pPr>
        <w:ind w:left="720"/>
      </w:pPr>
    </w:p>
    <w:p w14:paraId="61D0C8DA" w14:textId="77777777" w:rsidR="00076776" w:rsidRDefault="00000000">
      <w:r>
        <w:t xml:space="preserve">159-60 Opens with 9/11 and </w:t>
      </w:r>
      <w:proofErr w:type="spellStart"/>
      <w:r>
        <w:rPr>
          <w:b/>
        </w:rPr>
        <w:t>thanatourism</w:t>
      </w:r>
      <w:proofErr w:type="spellEnd"/>
      <w:r>
        <w:t xml:space="preserve">: “Kurgan’s map raised a host of ethical and political questions: did it merely service morbid voyeurism or meet the needs of genuine witness?” / 162 @SciEvn@Map Given cartography’s close association with positivist science (that dates to the origins of statistical and thematic mapping in the 19th Century), the claims for the academic and scientific status of their work made by American cartographers, especially in response to 1940s propaganda mapping, and the central role that cartography played in geographical exploration and colonial survey, settlement and administration, it is little wonder that the map has been among the most consistent targets for post-modern deconstruction. </w:t>
      </w:r>
      <w:r>
        <w:rPr>
          <w:b/>
        </w:rPr>
        <w:t>This has simultaneously reduced and enhanced cartography’s place within geography</w:t>
      </w:r>
      <w:r>
        <w:t xml:space="preserve">. / 163 Tips a hat to JB </w:t>
      </w:r>
      <w:r>
        <w:rPr>
          <w:highlight w:val="magenta"/>
        </w:rPr>
        <w:t>Harley</w:t>
      </w:r>
      <w:r>
        <w:t xml:space="preserve"> for “in the 1980s alerted the traditionally conservative fraternity of map scholars (which included </w:t>
      </w:r>
      <w:proofErr w:type="gramStart"/>
      <w:r>
        <w:t>a large number of</w:t>
      </w:r>
      <w:proofErr w:type="gramEnd"/>
      <w:r>
        <w:t xml:space="preserve"> his fellow historical geographers) to the inevitable imbrications of cartography and power. / @SciEnv@Map Denis Wood launched a polemical critique of </w:t>
      </w:r>
      <w:r>
        <w:rPr>
          <w:b/>
        </w:rPr>
        <w:t>“scientific” map-making</w:t>
      </w:r>
      <w:r>
        <w:t xml:space="preserve"> in </w:t>
      </w:r>
      <w:proofErr w:type="gramStart"/>
      <w:r>
        <w:rPr>
          <w:i/>
        </w:rPr>
        <w:t>The</w:t>
      </w:r>
      <w:proofErr w:type="gramEnd"/>
      <w:r>
        <w:rPr>
          <w:i/>
        </w:rPr>
        <w:t xml:space="preserve"> power of maps</w:t>
      </w:r>
      <w:r>
        <w:t xml:space="preserve"> (1990), and his continued attack on the scientific pretensions of professional cartographers has been pursued by writers such as David Koch, John Cloud and Mark Denil. / 164 @Aes@Art@LitThe Within </w:t>
      </w:r>
      <w:r>
        <w:rPr>
          <w:b/>
        </w:rPr>
        <w:t>art history</w:t>
      </w:r>
      <w:r>
        <w:t xml:space="preserve"> a parallel focus on the map as an object of critical emerged in the 1980s as part of a revisionist interest in the </w:t>
      </w:r>
      <w:proofErr w:type="gramStart"/>
      <w:r>
        <w:t>cultural</w:t>
      </w:r>
      <w:proofErr w:type="gramEnd"/>
      <w:r>
        <w:t xml:space="preserve"> specific and historical contexts of Renaissance perspective and the late medieval science of optics more generally. / 165 Woodward and Harley’s </w:t>
      </w:r>
      <w:r>
        <w:rPr>
          <w:i/>
        </w:rPr>
        <w:t>History of Cartography</w:t>
      </w:r>
      <w:r>
        <w:t xml:space="preserve"> / 166 @Link:Rose-Redwood@Perf … performative roles of the map as an object … / @Link:</w:t>
      </w:r>
      <w:r>
        <w:rPr>
          <w:highlight w:val="magenta"/>
        </w:rPr>
        <w:t>Carter</w:t>
      </w:r>
      <w:r>
        <w:t xml:space="preserve">: [Kathy Prendergast in Atlas of Emotions] counters the conventional postcolonial reading that the European explorer/colonizer was “master of all I survey”, suggesting rather an uncertain and anxious encounter in which the lines of power/knowledge are fractured and unpredictable, a theme explored in Paul Carter’s studies of British colonial exploration and mapping [in Road to Botany Bay]. / @Map@Acad Between 1920 and 1960, the number of </w:t>
      </w:r>
      <w:r>
        <w:rPr>
          <w:b/>
        </w:rPr>
        <w:t>specialised university programs</w:t>
      </w:r>
      <w:r>
        <w:t xml:space="preserve"> in America devoted to cartography rose from two to over one hundred. … first text on map-making in English appeared in the 1920s. / 170 @GIS@Map 1990s GIS kills “traditional” </w:t>
      </w:r>
      <w:r>
        <w:lastRenderedPageBreak/>
        <w:t xml:space="preserve">cartography: That decline has paralleled the unprecedented expansion of map-making and map-using that has come with the availability of increasing volumes of remote sensed data, </w:t>
      </w:r>
      <w:proofErr w:type="gramStart"/>
      <w:r>
        <w:t>spatially-referenced</w:t>
      </w:r>
      <w:proofErr w:type="gramEnd"/>
      <w:r>
        <w:t xml:space="preserve"> statistics, the microprocessor and the Web. / @GIS “Geographic Information Systems” / 172 “cartographic artists” / 173 @Art@Map It is important to acknowledge the influence of </w:t>
      </w:r>
      <w:r>
        <w:rPr>
          <w:highlight w:val="magenta"/>
        </w:rPr>
        <w:t>Henri Lefebvre</w:t>
      </w:r>
      <w:r>
        <w:t xml:space="preserve">’s </w:t>
      </w:r>
      <w:r>
        <w:rPr>
          <w:i/>
        </w:rPr>
        <w:t xml:space="preserve">La production de </w:t>
      </w:r>
      <w:proofErr w:type="spellStart"/>
      <w:r>
        <w:rPr>
          <w:i/>
        </w:rPr>
        <w:t>l’espace</w:t>
      </w:r>
      <w:proofErr w:type="spellEnd"/>
      <w:r>
        <w:t xml:space="preserve"> on these Anglophone geographers’ writings about space. </w:t>
      </w:r>
      <w:r>
        <w:rPr>
          <w:b/>
        </w:rPr>
        <w:t>Lefebvre was himself closely tied to the French artistic avant-garde</w:t>
      </w:r>
      <w:r>
        <w:t xml:space="preserve"> and especially Surrealism, whose Situationist Strand, discussed below, made extensive, if subversive use of maps and mapping practices. The Surrealist Map of the World (1929) [see the Surrealist Map of </w:t>
      </w:r>
      <w:proofErr w:type="gramStart"/>
      <w:r>
        <w:t>The</w:t>
      </w:r>
      <w:proofErr w:type="gramEnd"/>
      <w:r>
        <w:t xml:space="preserve"> world on 173]</w:t>
      </w:r>
      <w:proofErr w:type="gramStart"/>
      <w:r>
        <w:t>/  174</w:t>
      </w:r>
      <w:proofErr w:type="gramEnd"/>
      <w:r>
        <w:t xml:space="preserve"> … late 1950s too, Situationism, a second-gen Surrealist movement … Guy Debord … conscious move beyond the art world of studios and gallery the spaces of everyday life … / </w:t>
      </w:r>
    </w:p>
    <w:p w14:paraId="21B63D5F" w14:textId="77777777" w:rsidR="00076776" w:rsidRDefault="00076776"/>
    <w:p w14:paraId="675D27BF" w14:textId="77777777" w:rsidR="00076776" w:rsidRDefault="00000000">
      <w:pPr>
        <w:pStyle w:val="Heading2"/>
      </w:pPr>
      <w:r>
        <w:t>Notes</w:t>
      </w:r>
    </w:p>
    <w:p w14:paraId="7BCABA1A" w14:textId="77777777" w:rsidR="00076776" w:rsidRDefault="00000000">
      <w:r>
        <w:t xml:space="preserve">166 Cartographic sources to note: </w:t>
      </w:r>
    </w:p>
    <w:p w14:paraId="2B5270FB" w14:textId="77777777" w:rsidR="00076776" w:rsidRDefault="00076776"/>
    <w:p w14:paraId="14C5187D" w14:textId="77777777" w:rsidR="00076776" w:rsidRDefault="00000000">
      <w:r>
        <w:t xml:space="preserve">J.B. Harley and David Woodward (eds), The History of Cartography, vol. I “Cartography in </w:t>
      </w:r>
      <w:proofErr w:type="gramStart"/>
      <w:r>
        <w:t>pre historic</w:t>
      </w:r>
      <w:proofErr w:type="gramEnd"/>
      <w:r>
        <w:t xml:space="preserve">, ancient and medieval Europe and the Mediterranean”, Chicago and London, The Uni </w:t>
      </w:r>
      <w:proofErr w:type="spellStart"/>
      <w:r>
        <w:t>versity</w:t>
      </w:r>
      <w:proofErr w:type="spellEnd"/>
      <w:r>
        <w:t xml:space="preserve"> of Chicago Press, 1987; vol. II, Bk. 1 “Cartography in the traditional Islamic and South Asian societies”, 1994; vol. II. Bk.2 “Cartography in the traditional east and southeast Asian societies”, 1994; vol. II, Bk. 3 (David Woodward and C. Malcolm Lewis eds), “Cartography in the traditional African, American, Arctic, Australian, and Pacific societies”, 1998.</w:t>
      </w:r>
    </w:p>
    <w:p w14:paraId="68493BF0" w14:textId="77777777" w:rsidR="00076776" w:rsidRDefault="00076776"/>
    <w:p w14:paraId="5C8D5FCB" w14:textId="77777777" w:rsidR="00076776" w:rsidRDefault="00000000">
      <w:r>
        <w:t>171 @FFessay@CounterArg@K?</w:t>
      </w:r>
    </w:p>
    <w:p w14:paraId="36A0E762" w14:textId="77777777" w:rsidR="00076776" w:rsidRDefault="00000000">
      <w:r>
        <w:t xml:space="preserve">Cosgrove says this: </w:t>
      </w:r>
    </w:p>
    <w:p w14:paraId="55D95F03" w14:textId="77777777" w:rsidR="00076776" w:rsidRDefault="00000000">
      <w:pPr>
        <w:ind w:left="720"/>
      </w:pPr>
      <w:r>
        <w:t xml:space="preserve">A striking indication of the map’s contemporary cultural significance </w:t>
      </w:r>
      <w:r>
        <w:rPr>
          <w:b/>
        </w:rPr>
        <w:t>and the democratization brought about by information technology</w:t>
      </w:r>
      <w:r>
        <w:t xml:space="preserve"> is its role in contemporary art.</w:t>
      </w:r>
    </w:p>
    <w:p w14:paraId="0F1EC9B7" w14:textId="77777777" w:rsidR="00076776" w:rsidRDefault="00076776"/>
    <w:p w14:paraId="2B2D19DE" w14:textId="77777777" w:rsidR="00076776" w:rsidRDefault="00000000">
      <w:r>
        <w:t xml:space="preserve">I challenge Cosgrove’s assumption that maps are democratizing, as I would the assumption that printing presses or Internet technologies democratize. I </w:t>
      </w:r>
      <w:proofErr w:type="gramStart"/>
      <w:r>
        <w:t>make the assumption</w:t>
      </w:r>
      <w:proofErr w:type="gramEnd"/>
      <w:r>
        <w:t xml:space="preserve">, here, that a map is a </w:t>
      </w:r>
      <w:r>
        <w:rPr>
          <w:i/>
        </w:rPr>
        <w:t>technology</w:t>
      </w:r>
      <w:r>
        <w:t xml:space="preserve">, in both analogue and digital form, and, as such, it cannot be culturally neutral, </w:t>
      </w:r>
      <w:proofErr w:type="gramStart"/>
      <w:r>
        <w:t>any more</w:t>
      </w:r>
      <w:proofErr w:type="gramEnd"/>
      <w:r>
        <w:t xml:space="preserve"> that it can be democratizing </w:t>
      </w:r>
      <w:r>
        <w:rPr>
          <w:i/>
        </w:rPr>
        <w:t>in and of itself</w:t>
      </w:r>
      <w:r>
        <w:t xml:space="preserve">. </w:t>
      </w:r>
    </w:p>
    <w:p w14:paraId="7C462FD0" w14:textId="77777777" w:rsidR="00076776" w:rsidRDefault="00076776"/>
    <w:p w14:paraId="2BA53A6C" w14:textId="77777777" w:rsidR="00076776" w:rsidRDefault="00000000">
      <w:proofErr w:type="gramStart"/>
      <w:r>
        <w:t>K?@</w:t>
      </w:r>
      <w:proofErr w:type="spellStart"/>
      <w:proofErr w:type="gramEnd"/>
      <w:r>
        <w:t>Perf@OralEx</w:t>
      </w:r>
      <w:proofErr w:type="spellEnd"/>
    </w:p>
    <w:p w14:paraId="7CBEFE73" w14:textId="77777777" w:rsidR="00076776" w:rsidRDefault="00000000">
      <w:r>
        <w:t xml:space="preserve">It is odd that Cosgrove can talk about the intersections cartography and art and yet fail to mention performance. I wonder if the performative nature of maps would come to be examined later? </w:t>
      </w:r>
    </w:p>
    <w:p w14:paraId="46346AFA" w14:textId="77777777" w:rsidR="00076776" w:rsidRDefault="00000000">
      <w:pPr>
        <w:pStyle w:val="Heading1"/>
      </w:pPr>
      <w:bookmarkStart w:id="33" w:name="_heading=h.3o7alnk" w:colFirst="0" w:colLast="0"/>
      <w:bookmarkEnd w:id="33"/>
      <w:r>
        <w:t xml:space="preserve">(2008) Mogel &amp; Bhagat, eds., </w:t>
      </w:r>
      <w:r>
        <w:rPr>
          <w:i/>
        </w:rPr>
        <w:t>An Atlas of Radical Cartography</w:t>
      </w:r>
    </w:p>
    <w:p w14:paraId="63F8D38E" w14:textId="77777777" w:rsidR="00076776" w:rsidRDefault="00076776"/>
    <w:p w14:paraId="5BD8ED83" w14:textId="77777777" w:rsidR="00076776" w:rsidRDefault="00000000">
      <w:pPr>
        <w:pStyle w:val="Heading2"/>
      </w:pPr>
      <w:r>
        <w:t>Sen, “Other Worlds, Other Maps” (13)</w:t>
      </w:r>
    </w:p>
    <w:p w14:paraId="2C1CAF41" w14:textId="77777777" w:rsidR="00076776" w:rsidRDefault="00076776"/>
    <w:p w14:paraId="637C2355" w14:textId="77777777" w:rsidR="00076776" w:rsidRDefault="00000000">
      <w:pPr>
        <w:pStyle w:val="Heading3"/>
      </w:pPr>
      <w:r>
        <w:lastRenderedPageBreak/>
        <w:t>Abstract</w:t>
      </w:r>
    </w:p>
    <w:p w14:paraId="2C64621A" w14:textId="77777777" w:rsidR="00076776" w:rsidRDefault="00000000">
      <w:r>
        <w:t>13: From the opener: …experiments in making visible through mapping those who are traditionally made invisible by mapping.</w:t>
      </w:r>
    </w:p>
    <w:p w14:paraId="22143A57" w14:textId="77777777" w:rsidR="00076776" w:rsidRDefault="00076776"/>
    <w:p w14:paraId="7D0EEC99" w14:textId="77777777" w:rsidR="00076776" w:rsidRDefault="00000000">
      <w:pPr>
        <w:pStyle w:val="Heading3"/>
      </w:pPr>
      <w:r>
        <w:t>Key words</w:t>
      </w:r>
    </w:p>
    <w:p w14:paraId="4097B759" w14:textId="77777777" w:rsidR="00076776" w:rsidRDefault="00000000">
      <w:r>
        <w:t xml:space="preserve">maps, cartography, reclamation, erasure, mapping power in Calcutta (16), </w:t>
      </w:r>
    </w:p>
    <w:p w14:paraId="17619E49" w14:textId="77777777" w:rsidR="00076776" w:rsidRDefault="00076776"/>
    <w:p w14:paraId="17021EE7" w14:textId="77777777" w:rsidR="00076776" w:rsidRDefault="00000000">
      <w:pPr>
        <w:pStyle w:val="Heading3"/>
      </w:pPr>
      <w:r>
        <w:t>Essential quote</w:t>
      </w:r>
    </w:p>
    <w:p w14:paraId="4768493A" w14:textId="77777777" w:rsidR="00076776" w:rsidRDefault="00000000">
      <w:r>
        <w:t xml:space="preserve">19: Dwelling, therefore, and the denial of a place to dwell, is a fundamental action of power. Maps are not the only documents that can show where and how people dwell—but they can play a crucial role in this struggle. </w:t>
      </w:r>
    </w:p>
    <w:p w14:paraId="06CE1096" w14:textId="77777777" w:rsidR="00076776" w:rsidRDefault="00076776"/>
    <w:p w14:paraId="2A5F0E27" w14:textId="77777777" w:rsidR="00076776" w:rsidRDefault="00000000">
      <w:r>
        <w:t>@Knote@</w:t>
      </w:r>
      <w:proofErr w:type="gramStart"/>
      <w:r>
        <w:t>Link:</w:t>
      </w:r>
      <w:r>
        <w:rPr>
          <w:highlight w:val="magenta"/>
        </w:rPr>
        <w:t>Barnd</w:t>
      </w:r>
      <w:proofErr w:type="gramEnd"/>
      <w:r>
        <w:t xml:space="preserve">: </w:t>
      </w:r>
      <w:hyperlink w:anchor="_heading=h.lnxbz9">
        <w:r w:rsidR="00076776">
          <w:rPr>
            <w:color w:val="0563C1"/>
            <w:u w:val="single"/>
          </w:rPr>
          <w:t>Barnd</w:t>
        </w:r>
      </w:hyperlink>
      <w:r>
        <w:t xml:space="preserve"> has a similar way of describing “inhabiting.”</w:t>
      </w:r>
    </w:p>
    <w:p w14:paraId="1BAEC8D5" w14:textId="77777777" w:rsidR="00076776" w:rsidRDefault="00076776"/>
    <w:p w14:paraId="1B5B64FA" w14:textId="77777777" w:rsidR="00076776" w:rsidRDefault="00000000">
      <w:pPr>
        <w:pStyle w:val="Heading3"/>
      </w:pPr>
      <w:r>
        <w:t>Terms</w:t>
      </w:r>
    </w:p>
    <w:p w14:paraId="1C3D9D3E" w14:textId="77777777" w:rsidR="00076776" w:rsidRDefault="00000000">
      <w:r>
        <w:t xml:space="preserve">13: </w:t>
      </w:r>
      <w:r>
        <w:rPr>
          <w:b/>
        </w:rPr>
        <w:t>unintended</w:t>
      </w:r>
      <w:r>
        <w:t xml:space="preserve">: This initially involved mapping the settlements of the communities that </w:t>
      </w:r>
      <w:proofErr w:type="spellStart"/>
      <w:r>
        <w:t>Unnayan</w:t>
      </w:r>
      <w:proofErr w:type="spellEnd"/>
      <w:r>
        <w:t xml:space="preserve"> worked with communities of so-called unauthorized settlers or, as I referred to them at that time, the unintended…. [15] </w:t>
      </w:r>
      <w:r>
        <w:rPr>
          <w:i/>
        </w:rPr>
        <w:t>The Unintended City: An essay 0n the city of the poor</w:t>
      </w:r>
      <w:r>
        <w:t xml:space="preserve">. The essay argued that in countries of the South, entire “cities” existed and took shape in the interstices of “the city” as it is known, by people and communities who were </w:t>
      </w:r>
      <w:r>
        <w:rPr>
          <w:i/>
        </w:rPr>
        <w:t>unintended</w:t>
      </w:r>
      <w:r>
        <w:t>—in the sense that formal economic, planning, and governance structures and systems used them and their labor but had no real place for them.</w:t>
      </w:r>
    </w:p>
    <w:p w14:paraId="02C625E0" w14:textId="77777777" w:rsidR="00076776" w:rsidRDefault="00000000">
      <w:r>
        <w:t xml:space="preserve">14: </w:t>
      </w:r>
      <w:r>
        <w:rPr>
          <w:b/>
        </w:rPr>
        <w:t>marginal land settlements</w:t>
      </w:r>
      <w:r>
        <w:t>: people who dwelled along the margins of drainage canals, rail lines, and major roads.</w:t>
      </w:r>
    </w:p>
    <w:p w14:paraId="06A7A765" w14:textId="77777777" w:rsidR="00076776" w:rsidRDefault="00000000">
      <w:r>
        <w:t xml:space="preserve">14: </w:t>
      </w:r>
      <w:r>
        <w:rPr>
          <w:b/>
        </w:rPr>
        <w:t>unintended city</w:t>
      </w:r>
      <w:r>
        <w:t xml:space="preserve">: We did this </w:t>
      </w:r>
      <w:proofErr w:type="gramStart"/>
      <w:r>
        <w:t>in order to</w:t>
      </w:r>
      <w:proofErr w:type="gramEnd"/>
      <w:r>
        <w:t xml:space="preserve"> understand the larger picture of the conditions of what we termed the unintended city. We also hoped to help these communities [marginal] and this social class gain a sense of their place in Calcutta and of the </w:t>
      </w:r>
      <w:proofErr w:type="gramStart"/>
      <w:r>
        <w:t>manner in which</w:t>
      </w:r>
      <w:proofErr w:type="gramEnd"/>
      <w:r>
        <w:t xml:space="preserve"> their presence</w:t>
      </w:r>
    </w:p>
    <w:p w14:paraId="68CD76D4" w14:textId="77777777" w:rsidR="00076776" w:rsidRDefault="00000000">
      <w:r>
        <w:t xml:space="preserve">transforms the city. … [15] </w:t>
      </w:r>
      <w:proofErr w:type="spellStart"/>
      <w:r>
        <w:t>Unnayan</w:t>
      </w:r>
      <w:proofErr w:type="spellEnd"/>
      <w:r>
        <w:t xml:space="preserve"> [organization] also worked on the question of the rights and futures of the rickshaw pullers of Calcutta-who were (and remain) a very important symbol and manifestation of the unintended city….</w:t>
      </w:r>
    </w:p>
    <w:p w14:paraId="2D548924" w14:textId="77777777" w:rsidR="00076776" w:rsidRDefault="00000000">
      <w:r>
        <w:t xml:space="preserve">14: </w:t>
      </w:r>
      <w:r>
        <w:rPr>
          <w:i/>
        </w:rPr>
        <w:t>power-over</w:t>
      </w:r>
      <w:r>
        <w:t xml:space="preserve"> and </w:t>
      </w:r>
      <w:r>
        <w:rPr>
          <w:i/>
        </w:rPr>
        <w:t>power-to</w:t>
      </w:r>
      <w:r>
        <w:t>: In retrospect, I feel we also had an inadequate conception of power, and especially of power-to, and of what role maps could play.</w:t>
      </w:r>
    </w:p>
    <w:p w14:paraId="1F1DEC04" w14:textId="77777777" w:rsidR="00076776" w:rsidRDefault="00000000">
      <w:r>
        <w:t xml:space="preserve">16: </w:t>
      </w:r>
      <w:r>
        <w:rPr>
          <w:b/>
        </w:rPr>
        <w:t>dwelling rights</w:t>
      </w:r>
      <w:r>
        <w:t xml:space="preserve">: What </w:t>
      </w:r>
      <w:proofErr w:type="spellStart"/>
      <w:r>
        <w:t>Unnayan</w:t>
      </w:r>
      <w:proofErr w:type="spellEnd"/>
      <w:r>
        <w:t xml:space="preserve"> perhaps came to be best known for however, were its contributions to the field of housing rights (and what I now term dwelling rights), and more generally to promote the rights of the laboring poor in the city.</w:t>
      </w:r>
    </w:p>
    <w:p w14:paraId="59F4294C" w14:textId="77777777" w:rsidR="00076776" w:rsidRDefault="00076776"/>
    <w:p w14:paraId="06E12C45" w14:textId="77777777" w:rsidR="00076776" w:rsidRDefault="00000000">
      <w:pPr>
        <w:pStyle w:val="Heading3"/>
      </w:pPr>
      <w:r>
        <w:t>Core quotes</w:t>
      </w:r>
    </w:p>
    <w:p w14:paraId="076BF683" w14:textId="77777777" w:rsidR="00076776" w:rsidRDefault="00000000">
      <w:r>
        <w:t>13 @Map@Erase@Resist!</w:t>
      </w:r>
    </w:p>
    <w:p w14:paraId="53DCAFD8" w14:textId="77777777" w:rsidR="00076776" w:rsidRDefault="00000000">
      <w:pPr>
        <w:ind w:left="720"/>
      </w:pPr>
      <w:r>
        <w:t xml:space="preserve">… </w:t>
      </w:r>
      <w:r>
        <w:rPr>
          <w:i/>
        </w:rPr>
        <w:t>making visible</w:t>
      </w:r>
      <w:r>
        <w:t xml:space="preserve"> through mapping those who are traditionally </w:t>
      </w:r>
      <w:r>
        <w:rPr>
          <w:i/>
        </w:rPr>
        <w:t>made invisible</w:t>
      </w:r>
      <w:r>
        <w:t xml:space="preserve"> by mapping.</w:t>
      </w:r>
    </w:p>
    <w:p w14:paraId="5452CA68" w14:textId="77777777" w:rsidR="00076776" w:rsidRDefault="00076776"/>
    <w:p w14:paraId="072BE8ED" w14:textId="77777777" w:rsidR="00076776" w:rsidRDefault="00000000">
      <w:r>
        <w:t>14 @Map@Ontol@Epistem</w:t>
      </w:r>
    </w:p>
    <w:p w14:paraId="3A938A37" w14:textId="77777777" w:rsidR="00076776" w:rsidRDefault="00000000">
      <w:pPr>
        <w:ind w:left="720"/>
      </w:pPr>
      <w:r>
        <w:t xml:space="preserve">This is of course, what maps represent—they are portrayals of the world in the </w:t>
      </w:r>
      <w:proofErr w:type="gramStart"/>
      <w:r>
        <w:t>manner in which</w:t>
      </w:r>
      <w:proofErr w:type="gramEnd"/>
      <w:r>
        <w:t xml:space="preserve"> those preparing them would like the world to be understood.</w:t>
      </w:r>
    </w:p>
    <w:p w14:paraId="492A29B6" w14:textId="77777777" w:rsidR="00076776" w:rsidRDefault="00076776"/>
    <w:p w14:paraId="718EFAC3" w14:textId="77777777" w:rsidR="00076776" w:rsidRDefault="00000000">
      <w:r>
        <w:t>16 @Map@SJ@Power</w:t>
      </w:r>
    </w:p>
    <w:p w14:paraId="15370E44" w14:textId="77777777" w:rsidR="00076776" w:rsidRDefault="00000000">
      <w:pPr>
        <w:ind w:left="720"/>
      </w:pPr>
      <w:r>
        <w:t xml:space="preserve">Underlying this work was a drive, not always well thought out, to help people make themselves visible and thereby to gain some degree of control and power-to in their lives, celebrate their existence and contributions to the world around them, and also to challenge the power-over of those who made them </w:t>
      </w:r>
      <w:r>
        <w:rPr>
          <w:i/>
        </w:rPr>
        <w:t>unintended</w:t>
      </w:r>
      <w:r>
        <w:t xml:space="preserve">. We thought of mapping work not as </w:t>
      </w:r>
      <w:proofErr w:type="gramStart"/>
      <w:r>
        <w:t>end in itself, but</w:t>
      </w:r>
      <w:proofErr w:type="gramEnd"/>
      <w:r>
        <w:t xml:space="preserve"> as an instrument of this work. </w:t>
      </w:r>
    </w:p>
    <w:p w14:paraId="7C2B111B" w14:textId="77777777" w:rsidR="00076776" w:rsidRDefault="00076776"/>
    <w:p w14:paraId="1B3C20D0" w14:textId="77777777" w:rsidR="00076776" w:rsidRDefault="00000000">
      <w:r>
        <w:rPr>
          <w:highlight w:val="green"/>
        </w:rPr>
        <w:t>18 @Map@Pow@Knote@FFessay</w:t>
      </w:r>
      <w:r>
        <w:t xml:space="preserve">@Erase </w:t>
      </w:r>
    </w:p>
    <w:p w14:paraId="6CC38388" w14:textId="77777777" w:rsidR="00076776" w:rsidRDefault="00000000">
      <w:r>
        <w:t xml:space="preserve">The process of mapping </w:t>
      </w:r>
      <w:proofErr w:type="gramStart"/>
      <w:r>
        <w:t>as a way to</w:t>
      </w:r>
      <w:proofErr w:type="gramEnd"/>
      <w:r>
        <w:t xml:space="preserve"> engage with the power dynamics of a given area: </w:t>
      </w:r>
    </w:p>
    <w:p w14:paraId="2399EC8C" w14:textId="77777777" w:rsidR="00076776" w:rsidRDefault="00076776"/>
    <w:p w14:paraId="63147F2A" w14:textId="77777777" w:rsidR="00076776" w:rsidRDefault="00000000">
      <w:pPr>
        <w:ind w:left="720"/>
      </w:pPr>
      <w:r>
        <w:t xml:space="preserve">I also do not mean to suggest that what we did at </w:t>
      </w:r>
      <w:proofErr w:type="spellStart"/>
      <w:r>
        <w:t>Unnayan</w:t>
      </w:r>
      <w:proofErr w:type="spellEnd"/>
      <w:r>
        <w:t xml:space="preserve"> in the 1980swas a mapping of the contours of power. </w:t>
      </w:r>
      <w:r>
        <w:rPr>
          <w:b/>
        </w:rPr>
        <w:t xml:space="preserve">But what I think we unconsciously did was to prepare a fragment of this map. </w:t>
      </w:r>
    </w:p>
    <w:p w14:paraId="245F52F7" w14:textId="77777777" w:rsidR="00076776" w:rsidRDefault="00076776"/>
    <w:p w14:paraId="77FE8600" w14:textId="77777777" w:rsidR="00076776" w:rsidRDefault="00000000">
      <w:r>
        <w:t xml:space="preserve">The process of community, or ground-based mapping, reminds me of contour drawing, when your eyes following along the edges of things and you draw continuously, and without looking done—the idea is to train you to draw what you see, as opposed to what you think you see, and to strengthen the connection between what the mind sees and what the hand produces. Perhaps, in grass-roots mapping, it encourages you to pay slower and more refined attention on the spaces and places around you, inevitably revealing more nuances </w:t>
      </w:r>
      <w:proofErr w:type="spellStart"/>
      <w:r>
        <w:t>countours</w:t>
      </w:r>
      <w:proofErr w:type="spellEnd"/>
      <w:r>
        <w:t xml:space="preserve"> of the ways in which, among other elements, power is maintained and presented in these spaces. In other words, mapping can act as a contour drawing for understanding power dynamics. Sen continues: </w:t>
      </w:r>
    </w:p>
    <w:p w14:paraId="7A6797A5" w14:textId="77777777" w:rsidR="00076776" w:rsidRDefault="00076776"/>
    <w:p w14:paraId="7331997D" w14:textId="77777777" w:rsidR="00076776" w:rsidRDefault="00000000">
      <w:pPr>
        <w:ind w:left="720"/>
      </w:pPr>
      <w:r>
        <w:t xml:space="preserve">In all cultures, dwelling is one of the most basic actions we undertake as human beings and therefore </w:t>
      </w:r>
      <w:r>
        <w:rPr>
          <w:i/>
        </w:rPr>
        <w:t>one of the most fundamental parts of the act of building our world itself</w:t>
      </w:r>
      <w:r>
        <w:t xml:space="preserve">. Dwelling is an act of building order in our lives and gaining some degree of control over it—exercising power-to. Conversely, the denial of a place to live, and the denial that people live somewhere, is a brutal exercise of power-over. Dwelling, and the act of mapping dwellings (or human settlements)—and equally, the act of </w:t>
      </w:r>
      <w:r>
        <w:rPr>
          <w:i/>
        </w:rPr>
        <w:t>not</w:t>
      </w:r>
      <w:r>
        <w:t xml:space="preserve"> mapping dwellings and instead labeling them vacant land—is therefore all about power. … [19] </w:t>
      </w:r>
      <w:r>
        <w:rPr>
          <w:b/>
        </w:rPr>
        <w:t>Dwelling, therefore, and the denial of a place to dwell, is a fundamental action of power. Maps are not the only documents that can show where and how people dwell—but they can play a crucial role in this struggle.</w:t>
      </w:r>
      <w:r>
        <w:t xml:space="preserve"> </w:t>
      </w:r>
    </w:p>
    <w:p w14:paraId="50DA36B0" w14:textId="77777777" w:rsidR="00076776" w:rsidRDefault="00076776"/>
    <w:p w14:paraId="5E70D587" w14:textId="77777777" w:rsidR="00076776" w:rsidRDefault="00000000">
      <w:r>
        <w:t xml:space="preserve">@Diss On this last point, I wonder if we can see the reservation system, and borders, generally, as </w:t>
      </w:r>
      <w:r>
        <w:rPr>
          <w:i/>
        </w:rPr>
        <w:t>denials of dwelling</w:t>
      </w:r>
      <w:r>
        <w:t xml:space="preserve">, as opposed to displacement, in that the dwelling allows for the ontology-building that results: </w:t>
      </w:r>
    </w:p>
    <w:p w14:paraId="29BC82D9" w14:textId="77777777" w:rsidR="00076776" w:rsidRDefault="00076776"/>
    <w:p w14:paraId="3FF47A66" w14:textId="77777777" w:rsidR="00076776" w:rsidRDefault="00000000">
      <w:pPr>
        <w:ind w:left="720"/>
      </w:pPr>
      <w:r>
        <w:rPr>
          <w:b/>
        </w:rPr>
        <w:t>[18] Where we dwell, after all, is—or becomes, if we can live there for long enough—the center of our cosmos and universe;</w:t>
      </w:r>
      <w:r>
        <w:t xml:space="preserve"> and indeed, our home is the place from which we establish many and even most of our social and economic relations. It is also the place from which we claim two of our most basic political rights and freedoms: our most fundamental freedom as human beings to build community and so to exercise governance over our individual and collective lives; and our right as citizens to vote (and thereby to participate in institutional governance). Equally, </w:t>
      </w:r>
      <w:r>
        <w:rPr>
          <w:b/>
        </w:rPr>
        <w:t xml:space="preserve">where we live also </w:t>
      </w:r>
      <w:r>
        <w:rPr>
          <w:b/>
        </w:rPr>
        <w:lastRenderedPageBreak/>
        <w:t>contributes immensely to our cultural and social identity, and in a very real sense, all our social, economic, and other relations are constructed around and from this ‘place.’</w:t>
      </w:r>
    </w:p>
    <w:p w14:paraId="21088468" w14:textId="77777777" w:rsidR="00076776" w:rsidRDefault="00076776"/>
    <w:p w14:paraId="5ECC4C17" w14:textId="77777777" w:rsidR="00076776" w:rsidRDefault="00000000">
      <w:pPr>
        <w:pStyle w:val="Heading3"/>
      </w:pPr>
      <w:r>
        <w:t>Secondary quotes</w:t>
      </w:r>
    </w:p>
    <w:p w14:paraId="5E90050A" w14:textId="77777777" w:rsidR="00076776" w:rsidRDefault="00000000">
      <w:r>
        <w:t xml:space="preserve">13 Background: From 1978-1986 (and again in l998-90) some of us at an organization called </w:t>
      </w:r>
      <w:proofErr w:type="spellStart"/>
      <w:r>
        <w:t>Unnayan</w:t>
      </w:r>
      <w:proofErr w:type="spellEnd"/>
      <w:r>
        <w:t xml:space="preserve"> in Calcutta (now </w:t>
      </w:r>
      <w:r>
        <w:rPr>
          <w:b/>
        </w:rPr>
        <w:t>Kolkata</w:t>
      </w:r>
      <w:r>
        <w:t>) worked on projects that included preparing maps that located and detailed settlements that existed in that city at that time… / 14 @WIAM</w:t>
      </w:r>
      <w:r>
        <w:rPr>
          <w:b/>
        </w:rPr>
        <w:t>: Map as a practical/survival object:</w:t>
      </w:r>
      <w:r>
        <w:t xml:space="preserve"> At the most basic level, we needed to prepare the maps simply because one existed’ and in order to be able to help the settlers plan out improvements such as where to locate common services such as water pumps. / Our maps were part of a wider range of measures we took to highlight in public how the most basic rights of such people were violated, and to help them gain their rights. / @Map@SJ@Class: The second phase of work, during 1988-90, involved painstakingly mapping the </w:t>
      </w:r>
      <w:proofErr w:type="gramStart"/>
      <w:r>
        <w:t>manner in which</w:t>
      </w:r>
      <w:proofErr w:type="gramEnd"/>
      <w:r>
        <w:t xml:space="preserve"> ordinary people-the laboring poor and the working classes-had settled in Calcutta over centuries. Prepared with an eye to Calcutta’s tercentennial in 1990 (which we correctly suspected would be all about the history of the ruling classes and castes) the aim of these maps was to document and celebrate the reality of the city’s development, an aspect that is hidden in official and commercial maps. …  // Tragically, </w:t>
      </w:r>
      <w:proofErr w:type="gramStart"/>
      <w:r>
        <w:t>the vast majority of</w:t>
      </w:r>
      <w:proofErr w:type="gramEnd"/>
      <w:r>
        <w:t xml:space="preserve"> the maps we produced in both these phases of work are lost. Many were destroyed by floods in the 1990s; in late 2004, the office where remaining maps were stored was looted by builders contracted by the owner. Everything that was there, the maps included, was taken out and dumped in a field far outside the city. / 16 … a major part of the unintended city within Calcutta was going to be massively affected by formal planning and that unless something changed, these communities would have no knowledge of what was going to happen to their lives, let alone power to influence it. // This chance discovery of an illustration on a Peanut bag led to the formation of </w:t>
      </w:r>
      <w:proofErr w:type="spellStart"/>
      <w:r>
        <w:rPr>
          <w:b/>
        </w:rPr>
        <w:t>Unnayan</w:t>
      </w:r>
      <w:proofErr w:type="spellEnd"/>
      <w:r>
        <w:t xml:space="preserve">. / </w:t>
      </w:r>
      <w:r>
        <w:rPr>
          <w:b/>
        </w:rPr>
        <w:t>Unintended City Project</w:t>
      </w:r>
      <w:r>
        <w:t xml:space="preserve"> / …. we decided to set up </w:t>
      </w:r>
      <w:proofErr w:type="spellStart"/>
      <w:r>
        <w:t>Unnayan</w:t>
      </w:r>
      <w:proofErr w:type="spellEnd"/>
      <w:r>
        <w:t xml:space="preserve"> both as an organization and as an experiment in social organization. / 17 on scale: The result of this was, among other things, a huge 8’ x 12’ collage of maps of the entire region at this scale… / 17  “We soon realized that certain categories of settlements of the laboring poor in Calcutta had come to be fairly well documented: (1) the </w:t>
      </w:r>
      <w:proofErr w:type="spellStart"/>
      <w:r>
        <w:rPr>
          <w:i/>
        </w:rPr>
        <w:t>bastis</w:t>
      </w:r>
      <w:proofErr w:type="spellEnd"/>
      <w:r>
        <w:t xml:space="preserve">-laborer settlements…” followed by “refugee colonies” and “pavement dwellers.” / 19 by historical dispossession and deprivation, as in political refugees and the victims of planned development projects; or by structural circumstance, as in the case of womenl3 and </w:t>
      </w:r>
      <w:proofErr w:type="spellStart"/>
      <w:r>
        <w:rPr>
          <w:i/>
        </w:rPr>
        <w:t>dalits</w:t>
      </w:r>
      <w:proofErr w:type="spellEnd"/>
      <w:r>
        <w:t xml:space="preserve"> in India and poor peoples throughout the world. / </w:t>
      </w:r>
    </w:p>
    <w:p w14:paraId="561E460B" w14:textId="77777777" w:rsidR="00076776" w:rsidRDefault="00076776"/>
    <w:p w14:paraId="62720609" w14:textId="77777777" w:rsidR="00076776" w:rsidRDefault="00000000">
      <w:pPr>
        <w:pStyle w:val="Heading3"/>
      </w:pPr>
      <w:r>
        <w:t>Notes</w:t>
      </w:r>
    </w:p>
    <w:p w14:paraId="4B5E72A4" w14:textId="77777777" w:rsidR="00076776" w:rsidRDefault="00000000">
      <w:r>
        <w:t>19 @Knote@K?</w:t>
      </w:r>
    </w:p>
    <w:p w14:paraId="0160E296" w14:textId="77777777" w:rsidR="00076776" w:rsidRDefault="00000000">
      <w:r>
        <w:t xml:space="preserve">Good final questions, which could be built upon to make my arguments, and note the different sense of “settler” as a term: </w:t>
      </w:r>
    </w:p>
    <w:p w14:paraId="7CE14245" w14:textId="77777777" w:rsidR="00076776" w:rsidRDefault="00000000">
      <w:pPr>
        <w:ind w:left="720"/>
      </w:pPr>
      <w:r>
        <w:t>What would the maps have been like if we had developed them with the settlers themselves? Did the settlers have a vocabulary of their own for mapping the world around them, as many folk cultures do?1aAnd would such maps have lived on, including through memory and oral culture, in ways that our maps could not and did not?</w:t>
      </w:r>
    </w:p>
    <w:p w14:paraId="68B85098" w14:textId="77777777" w:rsidR="00076776" w:rsidRDefault="00076776"/>
    <w:p w14:paraId="01F8C272" w14:textId="77777777" w:rsidR="00076776" w:rsidRDefault="00000000">
      <w:pPr>
        <w:pStyle w:val="Heading2"/>
      </w:pPr>
      <w:r>
        <w:lastRenderedPageBreak/>
        <w:t>IAA, “Tactical Cartographies” (29)</w:t>
      </w:r>
    </w:p>
    <w:p w14:paraId="3F48401E" w14:textId="77777777" w:rsidR="00076776" w:rsidRDefault="00076776"/>
    <w:p w14:paraId="51D09B49" w14:textId="77777777" w:rsidR="00076776" w:rsidRDefault="00000000">
      <w:pPr>
        <w:pStyle w:val="Heading3"/>
      </w:pPr>
      <w:r>
        <w:t>Abstract</w:t>
      </w:r>
    </w:p>
    <w:p w14:paraId="4AE22EF0" w14:textId="77777777" w:rsidR="00076776" w:rsidRDefault="00000000">
      <w:r>
        <w:t xml:space="preserve">Examples of and cases for the application of “tactical cartography” as a tool for social justice. </w:t>
      </w:r>
    </w:p>
    <w:p w14:paraId="622F8AD9" w14:textId="77777777" w:rsidR="00076776" w:rsidRDefault="00076776"/>
    <w:p w14:paraId="54EE829E" w14:textId="77777777" w:rsidR="00076776" w:rsidRDefault="00000000">
      <w:pPr>
        <w:pStyle w:val="Heading3"/>
      </w:pPr>
      <w:r>
        <w:t>Key words</w:t>
      </w:r>
    </w:p>
    <w:p w14:paraId="5D15D4CB" w14:textId="77777777" w:rsidR="00076776" w:rsidRDefault="00000000">
      <w:r>
        <w:t>tactical cartography, map, power social justice, surveillance, tactical media, media studies, art, politics</w:t>
      </w:r>
    </w:p>
    <w:p w14:paraId="29915114" w14:textId="77777777" w:rsidR="00076776" w:rsidRDefault="00076776"/>
    <w:p w14:paraId="46E0443B" w14:textId="77777777" w:rsidR="00076776" w:rsidRDefault="00000000">
      <w:pPr>
        <w:pStyle w:val="Heading3"/>
      </w:pPr>
      <w:r>
        <w:t>Essential quote</w:t>
      </w:r>
    </w:p>
    <w:p w14:paraId="24A66EB7" w14:textId="77777777" w:rsidR="00076776" w:rsidRDefault="00000000">
      <w:r>
        <w:t>35: In short, maps don’t merely represent space, they shape arguments; they set discursive boundaries and identify objects to be considered</w:t>
      </w:r>
    </w:p>
    <w:p w14:paraId="1FF22FCF" w14:textId="77777777" w:rsidR="00076776" w:rsidRDefault="00076776"/>
    <w:p w14:paraId="2920DD0F" w14:textId="77777777" w:rsidR="00076776" w:rsidRDefault="00000000">
      <w:pPr>
        <w:pStyle w:val="Heading3"/>
      </w:pPr>
      <w:r>
        <w:t>Terms</w:t>
      </w:r>
    </w:p>
    <w:p w14:paraId="6CCD5F83" w14:textId="77777777" w:rsidR="00076776" w:rsidRDefault="00000000">
      <w:r>
        <w:t xml:space="preserve">29: [@WIAM@FFessay] </w:t>
      </w:r>
      <w:r>
        <w:rPr>
          <w:b/>
          <w:highlight w:val="green"/>
        </w:rPr>
        <w:t>tactical cartography</w:t>
      </w:r>
      <w:r>
        <w:rPr>
          <w:b/>
        </w:rPr>
        <w:t xml:space="preserve"> </w:t>
      </w:r>
      <w:r>
        <w:t>and</w:t>
      </w:r>
      <w:r>
        <w:rPr>
          <w:b/>
        </w:rPr>
        <w:t xml:space="preserve"> tactical media</w:t>
      </w:r>
      <w:r>
        <w:t xml:space="preserve">: spatial representations that confront power, promote social justice and are intended to have operational value. (As an example of operational value, think of maps used by military planners.) In taking up the term </w:t>
      </w:r>
      <w:r>
        <w:rPr>
          <w:i/>
        </w:rPr>
        <w:t>tactical</w:t>
      </w:r>
      <w:r>
        <w:t>, we link cartography with tactical media, an approach to art production that privileges critical social engagement. [</w:t>
      </w:r>
      <w:proofErr w:type="gramStart"/>
      <w:r>
        <w:t>30]…</w:t>
      </w:r>
      <w:proofErr w:type="gramEnd"/>
      <w:r>
        <w:t xml:space="preserve"> ‘tactical cartography’ refers to the creation, distribution, and use of spatial data to intervene in systems of control affecting spatial meaning and practice. Simply put, </w:t>
      </w:r>
      <w:r>
        <w:rPr>
          <w:b/>
          <w:highlight w:val="green"/>
        </w:rPr>
        <w:t>tactical cartographies aren’t just about politics and power; they are political machines that</w:t>
      </w:r>
    </w:p>
    <w:p w14:paraId="1DD62758" w14:textId="77777777" w:rsidR="00076776" w:rsidRDefault="00000000">
      <w:r>
        <w:rPr>
          <w:b/>
          <w:highlight w:val="green"/>
        </w:rPr>
        <w:t>work on power relations.</w:t>
      </w:r>
      <w:r>
        <w:rPr>
          <w:b/>
        </w:rPr>
        <w:t xml:space="preserve"> </w:t>
      </w:r>
    </w:p>
    <w:p w14:paraId="3BB00D19" w14:textId="77777777" w:rsidR="00076776" w:rsidRDefault="00000000">
      <w:r>
        <w:t xml:space="preserve">29: </w:t>
      </w:r>
      <w:r>
        <w:rPr>
          <w:b/>
        </w:rPr>
        <w:t>tactical media</w:t>
      </w:r>
      <w:r>
        <w:t xml:space="preserve">: Since the early 90s the </w:t>
      </w:r>
      <w:r>
        <w:rPr>
          <w:i/>
        </w:rPr>
        <w:t>tactical media</w:t>
      </w:r>
      <w:r>
        <w:t xml:space="preserve"> label has become something of an umbrella term for a host of widely divergent media practices embracing themes of political empowerment.</w:t>
      </w:r>
      <w:r>
        <w:rPr>
          <w:vertAlign w:val="superscript"/>
        </w:rPr>
        <w:t>2</w:t>
      </w:r>
      <w:r>
        <w:t xml:space="preserve"> The term has expanded from its origin in interventionist art</w:t>
      </w:r>
      <w:r>
        <w:rPr>
          <w:vertAlign w:val="superscript"/>
        </w:rPr>
        <w:t>3</w:t>
      </w:r>
      <w:r>
        <w:t xml:space="preserve"> to ultimately include a wide variety of alternative media practices. In considering the term here, we emphasize its connotations of instrumentality. // At root, tactical media is an interventionist practice that creates disruptions within existing systems of power and control. Less a methodology than an orientation, it is fundamentally pragmatic, utilizing </w:t>
      </w:r>
      <w:proofErr w:type="gramStart"/>
      <w:r>
        <w:t>any and all</w:t>
      </w:r>
      <w:proofErr w:type="gramEnd"/>
      <w:r>
        <w:t xml:space="preserve"> available technologies, aesthetics, and methods as dictated by the [30] goals of a given action. … While it may form a part of a long-term strategy, tactical media itself is concerned with temporary destabilization rather than permanent transformation. </w:t>
      </w:r>
    </w:p>
    <w:p w14:paraId="6BF33F69" w14:textId="77777777" w:rsidR="00076776" w:rsidRDefault="00076776"/>
    <w:p w14:paraId="6DD49C59" w14:textId="77777777" w:rsidR="00076776" w:rsidRDefault="00000000">
      <w:pPr>
        <w:pStyle w:val="Heading3"/>
      </w:pPr>
      <w:r>
        <w:t>Core quotes</w:t>
      </w:r>
    </w:p>
    <w:p w14:paraId="107EF041" w14:textId="77777777" w:rsidR="00076776" w:rsidRDefault="00000000">
      <w:r>
        <w:t>35 @Map@SJ@Resist@FFessay@</w:t>
      </w:r>
      <w:proofErr w:type="gramStart"/>
      <w:r>
        <w:t>Motherlode!@</w:t>
      </w:r>
      <w:proofErr w:type="gramEnd"/>
      <w:r>
        <w:t>Diss</w:t>
      </w:r>
    </w:p>
    <w:p w14:paraId="70D3B312" w14:textId="77777777" w:rsidR="00076776" w:rsidRDefault="00000000">
      <w:r>
        <w:t xml:space="preserve">Much to work with, here: </w:t>
      </w:r>
    </w:p>
    <w:p w14:paraId="0489A1FE" w14:textId="77777777" w:rsidR="00076776" w:rsidRDefault="00000000">
      <w:pPr>
        <w:ind w:left="720"/>
      </w:pPr>
      <w:r>
        <w:t xml:space="preserve">Embracing the potential for maps to be used in advocacy is an explicit recognition of maps as rhetorical devices. </w:t>
      </w:r>
      <w:r>
        <w:rPr>
          <w:b/>
        </w:rPr>
        <w:t>In short, maps don’t merely represent space, they shape arguments; they set discursive boundaries and identify objects to be considered</w:t>
      </w:r>
      <w:r>
        <w:t>.</w:t>
      </w:r>
      <w:r>
        <w:rPr>
          <w:vertAlign w:val="superscript"/>
        </w:rPr>
        <w:t>13</w:t>
      </w:r>
      <w:r>
        <w:t xml:space="preserve"> When individuals make their own maps, they offer an expression of what they consider important, what they consider to be ‘of interest,’ and for what they are willing to fight. In openly acknowledging the rhetorical power of maps and positioning themselves as interested parties taking sides in contentious debates, tactical cartographers offer a direct </w:t>
      </w:r>
      <w:r>
        <w:lastRenderedPageBreak/>
        <w:t>challenge to the presumed neutrality of mapmakers as mere visualizers of spatial data. Tactical cartographers make claims about landscapes, but also about their own status as authors of spatial narrative. In creating maps that confront power, tactical cartographers claim their right to set the rules of debate and to provide interpretations of local events with both an authority and a contingency equal to official representations.</w:t>
      </w:r>
    </w:p>
    <w:p w14:paraId="2F1848B1" w14:textId="77777777" w:rsidR="00076776" w:rsidRDefault="00076776"/>
    <w:p w14:paraId="51A989B6" w14:textId="77777777" w:rsidR="00076776" w:rsidRDefault="00000000">
      <w:pPr>
        <w:pStyle w:val="Heading3"/>
      </w:pPr>
      <w:r>
        <w:t>Secondary quotes</w:t>
      </w:r>
    </w:p>
    <w:p w14:paraId="7014FC08" w14:textId="77777777" w:rsidR="00076776" w:rsidRDefault="00000000">
      <w:r>
        <w:t xml:space="preserve">30: </w:t>
      </w:r>
      <w:r>
        <w:rPr>
          <w:b/>
        </w:rPr>
        <w:t>examples of tactical cartography</w:t>
      </w:r>
      <w:r>
        <w:t xml:space="preserve"> (TC): Consider Greenpeace’s 2001 expose of illegal logging operations in Brazil. Flying around in small planes, activists used digital cameras and GPS receivers to document illegal logging operations throughout the Amazon. … </w:t>
      </w:r>
      <w:r>
        <w:rPr>
          <w:b/>
        </w:rPr>
        <w:t>The activists effectively weaponize spatial data</w:t>
      </w:r>
      <w:r>
        <w:t>, transforming local observations into slings and arrows to directly assault corporate and governmental privilege. / With this map, one could produce “</w:t>
      </w:r>
      <w:r>
        <w:rPr>
          <w:b/>
        </w:rPr>
        <w:t>routes of least surveillance</w:t>
      </w:r>
      <w:r>
        <w:t xml:space="preserve">” that avoided as many cameras as possible between any two points. </w:t>
      </w:r>
      <w:r>
        <w:rPr>
          <w:b/>
        </w:rPr>
        <w:t xml:space="preserve">/ </w:t>
      </w:r>
      <w:proofErr w:type="spellStart"/>
      <w:r>
        <w:rPr>
          <w:b/>
        </w:rPr>
        <w:t>iSee</w:t>
      </w:r>
      <w:proofErr w:type="spellEnd"/>
      <w:r>
        <w:t xml:space="preserve"> was initially an exercise in media spectacle. / 33 @Map@SJ CCTV maps have rhetorical value in raising awareness and provoking public debate. They also have analytic value, enabling a </w:t>
      </w:r>
      <w:r>
        <w:rPr>
          <w:b/>
        </w:rPr>
        <w:t>citizen-science of surveillance in which surveillance systems are monitored and evaluated by the communities they purport to serve</w:t>
      </w:r>
      <w:r>
        <w:t xml:space="preserve">. / 34 Boston Police Department’s 2004 attempt to deploy surveillance cameras in Boston’s Chinatown neighborhood / </w:t>
      </w:r>
    </w:p>
    <w:p w14:paraId="7015B4D7" w14:textId="77777777" w:rsidR="00076776" w:rsidRDefault="00076776"/>
    <w:p w14:paraId="0BC79891" w14:textId="77777777" w:rsidR="00076776" w:rsidRDefault="00000000">
      <w:pPr>
        <w:pStyle w:val="Heading3"/>
      </w:pPr>
      <w:r>
        <w:t>Notes</w:t>
      </w:r>
    </w:p>
    <w:p w14:paraId="03349AEB" w14:textId="77777777" w:rsidR="00076776" w:rsidRDefault="00000000">
      <w:pPr>
        <w:rPr>
          <w:highlight w:val="green"/>
        </w:rPr>
      </w:pPr>
      <w:r>
        <w:rPr>
          <w:highlight w:val="green"/>
        </w:rPr>
        <w:t>35 @FFessay@Motherlode!</w:t>
      </w:r>
    </w:p>
    <w:p w14:paraId="1427CB3E" w14:textId="77777777" w:rsidR="00076776" w:rsidRDefault="00000000">
      <w:pPr>
        <w:rPr>
          <w:highlight w:val="green"/>
        </w:rPr>
      </w:pPr>
      <w:r>
        <w:rPr>
          <w:highlight w:val="green"/>
        </w:rPr>
        <w:t xml:space="preserve">Use this statement as the launchpad in the @WIAM essay? </w:t>
      </w:r>
    </w:p>
    <w:p w14:paraId="55ACC0E6" w14:textId="77777777" w:rsidR="00076776" w:rsidRDefault="00076776">
      <w:pPr>
        <w:rPr>
          <w:highlight w:val="green"/>
        </w:rPr>
      </w:pPr>
    </w:p>
    <w:p w14:paraId="5F710AF3" w14:textId="77777777" w:rsidR="00076776" w:rsidRDefault="00000000">
      <w:pPr>
        <w:ind w:left="720"/>
      </w:pPr>
      <w:r>
        <w:rPr>
          <w:highlight w:val="green"/>
        </w:rPr>
        <w:t>“In short, maps don’t merely represent space, they shape arguments; they set discursive boundaries and identify objects to be considered.”</w:t>
      </w:r>
    </w:p>
    <w:p w14:paraId="0EBDEC7D" w14:textId="77777777" w:rsidR="00076776" w:rsidRDefault="00000000">
      <w:pPr>
        <w:ind w:left="720"/>
        <w:rPr>
          <w:highlight w:val="green"/>
        </w:rPr>
      </w:pPr>
      <w:r>
        <w:rPr>
          <w:highlight w:val="green"/>
        </w:rPr>
        <w:t xml:space="preserve"> </w:t>
      </w:r>
    </w:p>
    <w:p w14:paraId="27263394" w14:textId="77777777" w:rsidR="00076776" w:rsidRDefault="00000000">
      <w:r>
        <w:rPr>
          <w:highlight w:val="green"/>
        </w:rPr>
        <w:t>I submit that maps shape ontologies, and their respective discursive boundaries, which I imagine as borders between translation, or psycho-spatial territories….</w:t>
      </w:r>
      <w:r>
        <w:t xml:space="preserve"> </w:t>
      </w:r>
    </w:p>
    <w:p w14:paraId="7F958922" w14:textId="77777777" w:rsidR="00076776" w:rsidRDefault="00076776"/>
    <w:p w14:paraId="26BACB6C" w14:textId="77777777" w:rsidR="00076776" w:rsidRDefault="00000000">
      <w:r>
        <w:t>@Diss: Good source? Charles Lindauer. “</w:t>
      </w:r>
      <w:hyperlink r:id="rId30" w:anchor="AN=2136092&amp;db=aph">
        <w:r w:rsidR="00076776">
          <w:rPr>
            <w:color w:val="0563C1"/>
            <w:u w:val="single"/>
          </w:rPr>
          <w:t>Tactical Cartography</w:t>
        </w:r>
      </w:hyperlink>
      <w:r>
        <w:t>.”</w:t>
      </w:r>
    </w:p>
    <w:p w14:paraId="671AC1A1" w14:textId="77777777" w:rsidR="00076776" w:rsidRDefault="00076776"/>
    <w:p w14:paraId="08831DB3" w14:textId="77777777" w:rsidR="00076776" w:rsidRDefault="00000000">
      <w:pPr>
        <w:pStyle w:val="Heading2"/>
      </w:pPr>
      <w:r>
        <w:t>Gordon, “A World Map” (139)</w:t>
      </w:r>
    </w:p>
    <w:p w14:paraId="29171832" w14:textId="77777777" w:rsidR="00076776" w:rsidRDefault="00076776"/>
    <w:p w14:paraId="76080A88" w14:textId="77777777" w:rsidR="00076776" w:rsidRDefault="00000000">
      <w:pPr>
        <w:pStyle w:val="Heading3"/>
      </w:pPr>
      <w:r>
        <w:t>Abstract</w:t>
      </w:r>
    </w:p>
    <w:p w14:paraId="2D88F17A" w14:textId="77777777" w:rsidR="00076776" w:rsidRDefault="00000000">
      <w:r>
        <w:t xml:space="preserve">An anti-capitalist, poetic invective in the form of a dense and purposefully confusing map. </w:t>
      </w:r>
    </w:p>
    <w:p w14:paraId="79A4A8B6" w14:textId="77777777" w:rsidR="00076776" w:rsidRDefault="00076776"/>
    <w:p w14:paraId="3CE954B0" w14:textId="77777777" w:rsidR="00076776" w:rsidRDefault="00000000">
      <w:pPr>
        <w:pStyle w:val="Heading3"/>
      </w:pPr>
      <w:r>
        <w:t>Key words</w:t>
      </w:r>
    </w:p>
    <w:p w14:paraId="5E62C677" w14:textId="77777777" w:rsidR="00076776" w:rsidRDefault="00000000">
      <w:r>
        <w:t xml:space="preserve">surveillance, art, resistance, power, social justice, capitalism, class, race </w:t>
      </w:r>
    </w:p>
    <w:p w14:paraId="0E64BDF7" w14:textId="77777777" w:rsidR="00076776" w:rsidRDefault="00076776"/>
    <w:p w14:paraId="49D87470" w14:textId="77777777" w:rsidR="00076776" w:rsidRDefault="00000000">
      <w:pPr>
        <w:pStyle w:val="Heading3"/>
      </w:pPr>
      <w:r>
        <w:t>Essential quote</w:t>
      </w:r>
    </w:p>
    <w:p w14:paraId="0FF7C003" w14:textId="77777777" w:rsidR="00076776" w:rsidRDefault="00000000">
      <w:r>
        <w:t>143: When the State abandons you, it never lets you out of its sight.</w:t>
      </w:r>
    </w:p>
    <w:p w14:paraId="2E8DE5F8" w14:textId="77777777" w:rsidR="00076776" w:rsidRDefault="00076776"/>
    <w:p w14:paraId="14BC1B63" w14:textId="77777777" w:rsidR="00076776" w:rsidRDefault="00000000">
      <w:pPr>
        <w:pStyle w:val="Heading3"/>
      </w:pPr>
      <w:r>
        <w:lastRenderedPageBreak/>
        <w:t>Terms</w:t>
      </w:r>
    </w:p>
    <w:p w14:paraId="0F735299" w14:textId="77777777" w:rsidR="00076776" w:rsidRDefault="00000000">
      <w:r>
        <w:t xml:space="preserve">142-43: </w:t>
      </w:r>
      <w:r>
        <w:rPr>
          <w:b/>
        </w:rPr>
        <w:t>abandonment</w:t>
      </w:r>
      <w:r>
        <w:t xml:space="preserve">: Abandonment is a core feature of the expansion of a parasitic security/war economy increasingly dependent on the confined warehousing of surplus labor, that is, of all the world’s people for whom no room will be or can be made in the legal sacrificial capitalist economy. Their poverty and resistance to the saturation policing directed interminably towards them criminalized, the abandoned—and their anger and their political demands—are removed by the state to remote and fortified prisons or camps where they are civilly disabled and socially dead. [143] Rigorously coordinated, organized, abandonment always involves the state, the police, the army and the deployment of the deadly force it abrogates onto itself. </w:t>
      </w:r>
      <w:r>
        <w:rPr>
          <w:b/>
        </w:rPr>
        <w:t>When the State abandons you, it never lets you out of its sight</w:t>
      </w:r>
      <w:r>
        <w:t>.</w:t>
      </w:r>
    </w:p>
    <w:p w14:paraId="563482CF" w14:textId="77777777" w:rsidR="00076776" w:rsidRDefault="00076776"/>
    <w:p w14:paraId="378B2720" w14:textId="77777777" w:rsidR="00076776" w:rsidRDefault="00000000">
      <w:pPr>
        <w:pStyle w:val="Heading3"/>
      </w:pPr>
      <w:r>
        <w:t>Core quotes</w:t>
      </w:r>
    </w:p>
    <w:p w14:paraId="7068CDFD" w14:textId="77777777" w:rsidR="00076776" w:rsidRDefault="00000000">
      <w:r>
        <w:t>139 @Map@Power@SJ@Capital@WIAM</w:t>
      </w:r>
    </w:p>
    <w:p w14:paraId="7FB35B2B" w14:textId="77777777" w:rsidR="00076776" w:rsidRDefault="00000000">
      <w:pPr>
        <w:ind w:left="720"/>
      </w:pPr>
      <w:r>
        <w:t xml:space="preserve">A World Map IN WHICH WE SEE… </w:t>
      </w:r>
      <w:r>
        <w:rPr>
          <w:b/>
          <w:highlight w:val="magenta"/>
        </w:rPr>
        <w:t>Ashley Hunt</w:t>
      </w:r>
      <w:r>
        <w:t>’s conceptual map of the processes and forces of globalization—the restructuring, the shape the capitalist world system began to take in the last quarter of the 20th century. It turns out to be a crisis machine alter all. The map charts the sociopolitical mechanisms by which capitalism has been attempting to solve its most recent large-scale accumulation crises.</w:t>
      </w:r>
    </w:p>
    <w:p w14:paraId="1EBD6EFE" w14:textId="77777777" w:rsidR="00076776" w:rsidRDefault="00076776"/>
    <w:p w14:paraId="6457CF2D" w14:textId="77777777" w:rsidR="00076776" w:rsidRDefault="00000000">
      <w:r>
        <w:t>143 @Map@Power@SJ@Resist!</w:t>
      </w:r>
    </w:p>
    <w:p w14:paraId="17B3E770" w14:textId="77777777" w:rsidR="00076776" w:rsidRDefault="00000000">
      <w:pPr>
        <w:ind w:left="720"/>
      </w:pPr>
      <w:r>
        <w:t xml:space="preserve">The criminal, the migrant, the refugee, the prisoner: figures of crisis, in most maps they always appear last or not at all. Hunt puts them first, acknowledging their important </w:t>
      </w:r>
      <w:proofErr w:type="spellStart"/>
      <w:r>
        <w:t>piace</w:t>
      </w:r>
      <w:proofErr w:type="spellEnd"/>
      <w:r>
        <w:t xml:space="preserve"> in the regimes for accumulating wealth and power, charting the displacements that are increasingly their permanent condition. Both hidden away and spectacularly solicited as objects of taxable fear, those abandoned to the police state and its carceral complex normally appear as giant ghostly abstractions, specters whose intentions are vague and menacing. But the prisoner or the migrant, the outlaw poor, are not abstractions. They are </w:t>
      </w:r>
      <w:proofErr w:type="gramStart"/>
      <w:r>
        <w:t>people:…</w:t>
      </w:r>
      <w:proofErr w:type="gramEnd"/>
      <w:r>
        <w:t xml:space="preserve"> </w:t>
      </w:r>
    </w:p>
    <w:p w14:paraId="6BC2715A" w14:textId="77777777" w:rsidR="00076776" w:rsidRDefault="00076776"/>
    <w:p w14:paraId="1D837658" w14:textId="77777777" w:rsidR="00076776" w:rsidRDefault="00000000">
      <w:pPr>
        <w:pStyle w:val="Heading3"/>
      </w:pPr>
      <w:r>
        <w:t>Secondary quotes</w:t>
      </w:r>
    </w:p>
    <w:p w14:paraId="575FCFFB" w14:textId="77777777" w:rsidR="00076776" w:rsidRDefault="00000000">
      <w:r>
        <w:t xml:space="preserve">141 Describing a reading of the map: A World Map IN WHICH WE </w:t>
      </w:r>
      <w:proofErr w:type="gramStart"/>
      <w:r>
        <w:t>SEE .</w:t>
      </w:r>
      <w:proofErr w:type="gramEnd"/>
      <w:r>
        <w:t xml:space="preserve"> </w:t>
      </w:r>
      <w:r>
        <w:rPr>
          <w:i/>
        </w:rPr>
        <w:t>The Warp of the Weft</w:t>
      </w:r>
      <w:r>
        <w:t xml:space="preserve">. </w:t>
      </w:r>
      <w:proofErr w:type="gramStart"/>
      <w:r>
        <w:t>As a whole, the</w:t>
      </w:r>
      <w:proofErr w:type="gramEnd"/>
      <w:r>
        <w:t xml:space="preserve"> map is unreadable. It makes me dizzy. Whether you stand facing it mounted on a wall with its handwritten artisanal script or whether you look at it electronically with its neat typeface, you can’t take it all in at once. You start eye level and you’re in </w:t>
      </w:r>
      <w:r>
        <w:rPr>
          <w:i/>
        </w:rPr>
        <w:t>predatory lending and debt leverage</w:t>
      </w:r>
      <w:r>
        <w:t xml:space="preserve">, but you can’t see </w:t>
      </w:r>
      <w:r>
        <w:rPr>
          <w:i/>
        </w:rPr>
        <w:t>criminalization disappearance internment dispossession institutionalization</w:t>
      </w:r>
      <w:r>
        <w:t>.</w:t>
      </w:r>
    </w:p>
    <w:p w14:paraId="11BAAB00" w14:textId="77777777" w:rsidR="00076776" w:rsidRDefault="00076776"/>
    <w:p w14:paraId="413ED82C" w14:textId="77777777" w:rsidR="00076776" w:rsidRDefault="00000000">
      <w:r>
        <w:t xml:space="preserve">The map: </w:t>
      </w:r>
    </w:p>
    <w:p w14:paraId="22F7DA2A" w14:textId="77777777" w:rsidR="00076776" w:rsidRDefault="00000000">
      <w:r>
        <w:rPr>
          <w:noProof/>
        </w:rPr>
        <w:lastRenderedPageBreak/>
        <w:drawing>
          <wp:inline distT="0" distB="0" distL="0" distR="0" wp14:anchorId="6B2EDEE8" wp14:editId="002A5941">
            <wp:extent cx="5943600" cy="4598035"/>
            <wp:effectExtent l="0" t="0" r="0" b="0"/>
            <wp:docPr id="7" name="image1.jpg" descr="A circuit 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ircuit board&#10;&#10;Description automatically generated"/>
                    <pic:cNvPicPr preferRelativeResize="0"/>
                  </pic:nvPicPr>
                  <pic:blipFill>
                    <a:blip r:embed="rId31"/>
                    <a:srcRect/>
                    <a:stretch>
                      <a:fillRect/>
                    </a:stretch>
                  </pic:blipFill>
                  <pic:spPr>
                    <a:xfrm>
                      <a:off x="0" y="0"/>
                      <a:ext cx="5943600" cy="4598035"/>
                    </a:xfrm>
                    <a:prstGeom prst="rect">
                      <a:avLst/>
                    </a:prstGeom>
                    <a:ln/>
                  </pic:spPr>
                </pic:pic>
              </a:graphicData>
            </a:graphic>
          </wp:inline>
        </w:drawing>
      </w:r>
    </w:p>
    <w:p w14:paraId="1979505B" w14:textId="77777777" w:rsidR="00076776" w:rsidRDefault="00076776"/>
    <w:p w14:paraId="5E0C7764" w14:textId="77777777" w:rsidR="00076776" w:rsidRDefault="00000000">
      <w:pPr>
        <w:pStyle w:val="Heading3"/>
      </w:pPr>
      <w:r>
        <w:t>Notes</w:t>
      </w:r>
    </w:p>
    <w:p w14:paraId="1F4D2A58" w14:textId="77777777" w:rsidR="00076776" w:rsidRDefault="00076776"/>
    <w:p w14:paraId="6E5E44D6" w14:textId="77777777" w:rsidR="00076776" w:rsidRDefault="00000000">
      <w:r>
        <w:rPr>
          <w:highlight w:val="green"/>
        </w:rPr>
        <w:t>@FFessay@Diss</w:t>
      </w:r>
      <w:r>
        <w:t>@WIAM</w:t>
      </w:r>
    </w:p>
    <w:p w14:paraId="3183C1E6" w14:textId="77777777" w:rsidR="00076776" w:rsidRDefault="00000000">
      <w:r>
        <w:t xml:space="preserve">Note that </w:t>
      </w:r>
      <w:r>
        <w:rPr>
          <w:b/>
        </w:rPr>
        <w:t>Ashely Hunt’s “cartographer’s statement” (my term) starts on page 145.</w:t>
      </w:r>
      <w:r>
        <w:t xml:space="preserve"> </w:t>
      </w:r>
    </w:p>
    <w:p w14:paraId="26B26DA5" w14:textId="77777777" w:rsidR="00076776" w:rsidRDefault="00076776"/>
    <w:p w14:paraId="26252BA9" w14:textId="77777777" w:rsidR="00076776" w:rsidRDefault="00000000">
      <w:pPr>
        <w:ind w:left="720"/>
      </w:pPr>
      <w:r>
        <w:t xml:space="preserve">[145-46] Importantly, the map does not seek to privilege abstract ideas over their lived contexts and </w:t>
      </w:r>
      <w:proofErr w:type="gramStart"/>
      <w:r>
        <w:t>effects, but</w:t>
      </w:r>
      <w:proofErr w:type="gramEnd"/>
      <w:r>
        <w:t xml:space="preserve"> exists as a tool that can be applied to different contexts for the building of local analyses of power and change. Additionally, the map seeks to undermine the intellectual tendency to see one’s analysis as total and absolute. </w:t>
      </w:r>
    </w:p>
    <w:p w14:paraId="7B08A844" w14:textId="77777777" w:rsidR="00076776" w:rsidRDefault="00076776"/>
    <w:p w14:paraId="162C298C" w14:textId="77777777" w:rsidR="00076776" w:rsidRDefault="00000000">
      <w:r>
        <w:rPr>
          <w:highlight w:val="yellow"/>
        </w:rPr>
        <w:t xml:space="preserve">@K? Can we imagine a map as a tool to </w:t>
      </w:r>
      <w:r>
        <w:rPr>
          <w:i/>
          <w:highlight w:val="yellow"/>
        </w:rPr>
        <w:t>counter</w:t>
      </w:r>
      <w:r>
        <w:rPr>
          <w:highlight w:val="yellow"/>
        </w:rPr>
        <w:t xml:space="preserve"> </w:t>
      </w:r>
      <w:proofErr w:type="spellStart"/>
      <w:r>
        <w:rPr>
          <w:highlight w:val="yellow"/>
        </w:rPr>
        <w:t>absolutionism</w:t>
      </w:r>
      <w:proofErr w:type="spellEnd"/>
      <w:r>
        <w:rPr>
          <w:highlight w:val="yellow"/>
        </w:rPr>
        <w:t xml:space="preserve">? </w:t>
      </w:r>
      <w:proofErr w:type="gramStart"/>
      <w:r>
        <w:rPr>
          <w:highlight w:val="yellow"/>
        </w:rPr>
        <w:t>Through the use of</w:t>
      </w:r>
      <w:proofErr w:type="gramEnd"/>
      <w:r>
        <w:rPr>
          <w:highlight w:val="yellow"/>
        </w:rPr>
        <w:t xml:space="preserve"> toponymic blending, it may be possible to destabilize any one sense of a space/place. However, this cartographic multiplicity may also undermine attempts at reconciliation, which is, fundamentally, about a simultaneous reclamation of traditional names and an acknowledgement that present adoptions of space, place, and topographies are subject to Indigenous-led evolution. If Indigenous toponyms are tumbled into others, they become components for discursive demonstration, an intellectual fancy, rather than a reparation—through their modularization, Indigenous toponyms would be contained and deployed, dispossessed of their intrinsic tendrils that connect to their respective “</w:t>
      </w:r>
      <w:proofErr w:type="spellStart"/>
      <w:r>
        <w:rPr>
          <w:highlight w:val="yellow"/>
        </w:rPr>
        <w:t>storyscapes</w:t>
      </w:r>
      <w:proofErr w:type="spellEnd"/>
      <w:r>
        <w:rPr>
          <w:highlight w:val="yellow"/>
        </w:rPr>
        <w:t xml:space="preserve">” (Rose-Redwood ??). What starts as a desire for a </w:t>
      </w:r>
      <w:r>
        <w:rPr>
          <w:highlight w:val="yellow"/>
        </w:rPr>
        <w:lastRenderedPageBreak/>
        <w:t>toponymic, appositional insurgency could reproduce the current hegemony, wherein any non-settler toponyms are weighed ultimately against, and by, the settler state’s power-systems.</w:t>
      </w:r>
      <w:r>
        <w:t xml:space="preserve"> </w:t>
      </w:r>
    </w:p>
    <w:p w14:paraId="3742A877" w14:textId="77777777" w:rsidR="00076776" w:rsidRDefault="00076776"/>
    <w:p w14:paraId="1345B772" w14:textId="77777777" w:rsidR="00076776" w:rsidRDefault="00000000">
      <w:r>
        <w:t xml:space="preserve">Interesting sources and future considerations for readings… </w:t>
      </w:r>
    </w:p>
    <w:p w14:paraId="749B5E90" w14:textId="77777777" w:rsidR="00076776" w:rsidRDefault="00076776"/>
    <w:p w14:paraId="0787A577" w14:textId="77777777" w:rsidR="00076776" w:rsidRDefault="00000000">
      <w:r>
        <w:rPr>
          <w:highlight w:val="magenta"/>
        </w:rPr>
        <w:t xml:space="preserve">China </w:t>
      </w:r>
      <w:proofErr w:type="spellStart"/>
      <w:r>
        <w:rPr>
          <w:highlight w:val="magenta"/>
        </w:rPr>
        <w:t>Mieveille</w:t>
      </w:r>
      <w:proofErr w:type="spellEnd"/>
      <w:r>
        <w:t xml:space="preserve">. </w:t>
      </w:r>
      <w:proofErr w:type="spellStart"/>
      <w:r>
        <w:rPr>
          <w:i/>
        </w:rPr>
        <w:t>Pedido</w:t>
      </w:r>
      <w:proofErr w:type="spellEnd"/>
      <w:r>
        <w:rPr>
          <w:i/>
        </w:rPr>
        <w:t xml:space="preserve"> Street Station</w:t>
      </w:r>
      <w:r>
        <w:t xml:space="preserve"> (London. Pan, 2000.) The passages below from the Weaver are at 478, 179, 482, 800. </w:t>
      </w:r>
    </w:p>
    <w:p w14:paraId="79E36FF6" w14:textId="77777777" w:rsidR="00076776" w:rsidRDefault="00076776"/>
    <w:p w14:paraId="254B373D" w14:textId="77777777" w:rsidR="00076776" w:rsidRDefault="00000000">
      <w:r>
        <w:t xml:space="preserve">@Diss: </w:t>
      </w:r>
      <w:r>
        <w:rPr>
          <w:highlight w:val="magenta"/>
        </w:rPr>
        <w:t>John Berger</w:t>
      </w:r>
      <w:r>
        <w:t xml:space="preserve"> writes of “plundered terms” in “</w:t>
      </w:r>
      <w:hyperlink r:id="rId32">
        <w:r w:rsidR="00076776">
          <w:rPr>
            <w:color w:val="0563C1"/>
            <w:u w:val="single"/>
          </w:rPr>
          <w:t>Dispatches</w:t>
        </w:r>
      </w:hyperlink>
      <w:r>
        <w:t xml:space="preserve">.” Race &amp; Class 48(1), 2006, 38. </w:t>
      </w:r>
    </w:p>
    <w:p w14:paraId="5192F733" w14:textId="77777777" w:rsidR="00076776" w:rsidRDefault="00000000">
      <w:pPr>
        <w:pStyle w:val="Heading1"/>
      </w:pPr>
      <w:bookmarkStart w:id="34" w:name="_heading=h.23ckvvd" w:colFirst="0" w:colLast="0"/>
      <w:bookmarkEnd w:id="34"/>
      <w:r>
        <w:t>(2010) Rose-Redwood, et. al., “Geographies of Toponymic Inscription: New Directions in Critical Place-Name Studies”</w:t>
      </w:r>
    </w:p>
    <w:p w14:paraId="0E2249C7" w14:textId="77777777" w:rsidR="00076776" w:rsidRDefault="00076776"/>
    <w:p w14:paraId="5475207F" w14:textId="77777777" w:rsidR="00076776" w:rsidRDefault="00000000">
      <w:pPr>
        <w:pStyle w:val="Heading2"/>
      </w:pPr>
      <w:r>
        <w:t>Abstract</w:t>
      </w:r>
    </w:p>
    <w:p w14:paraId="2C6C93BC" w14:textId="77777777" w:rsidR="00076776" w:rsidRDefault="00000000">
      <w:r>
        <w:t xml:space="preserve">R-R, et. al., from quote: “In this article, we trace the recent shift in place-name studies away from its traditional focus on etymological and taxonomic concerns and toward a critical interrogation of the politics of place naming” (455). </w:t>
      </w:r>
    </w:p>
    <w:p w14:paraId="5C6C66D7" w14:textId="77777777" w:rsidR="00076776" w:rsidRDefault="00076776"/>
    <w:p w14:paraId="45B23440" w14:textId="77777777" w:rsidR="00076776" w:rsidRDefault="00000000">
      <w:pPr>
        <w:pStyle w:val="Heading2"/>
      </w:pPr>
      <w:r>
        <w:t>Key words</w:t>
      </w:r>
    </w:p>
    <w:p w14:paraId="608B5589" w14:textId="77777777" w:rsidR="00076776" w:rsidRDefault="00000000">
      <w:r>
        <w:t xml:space="preserve">critical place-name studies, governmentality, politics of calculation, semiotics, social justice, symbolic resistance, toponymy </w:t>
      </w:r>
    </w:p>
    <w:p w14:paraId="5C5D6440" w14:textId="77777777" w:rsidR="00076776" w:rsidRDefault="00076776"/>
    <w:p w14:paraId="05DBD248" w14:textId="77777777" w:rsidR="00076776" w:rsidRDefault="00000000">
      <w:pPr>
        <w:pStyle w:val="Heading2"/>
      </w:pPr>
      <w:r>
        <w:t>Essential quote</w:t>
      </w:r>
    </w:p>
    <w:p w14:paraId="5D1EBE44" w14:textId="77777777" w:rsidR="00076776" w:rsidRDefault="00000000">
      <w:r>
        <w:t xml:space="preserve">462-63: The results of these </w:t>
      </w:r>
      <w:r>
        <w:rPr>
          <w:b/>
        </w:rPr>
        <w:t>naming struggles have a direct bearing on whose vision of ‘reality’ will appear to matter socially, since</w:t>
      </w:r>
      <w:r>
        <w:t xml:space="preserve"> </w:t>
      </w:r>
      <w:r>
        <w:rPr>
          <w:b/>
        </w:rPr>
        <w:t>landscapes are not just the products of social power but also tools or resources for achieving it</w:t>
      </w:r>
      <w:r>
        <w:t>.</w:t>
      </w:r>
      <w:r>
        <w:tab/>
      </w:r>
    </w:p>
    <w:p w14:paraId="7F7613B0" w14:textId="77777777" w:rsidR="00076776" w:rsidRDefault="00076776"/>
    <w:p w14:paraId="6FDE30BC" w14:textId="77777777" w:rsidR="00076776" w:rsidRDefault="00000000">
      <w:pPr>
        <w:pStyle w:val="Heading2"/>
      </w:pPr>
      <w:r>
        <w:t>Terms</w:t>
      </w:r>
    </w:p>
    <w:p w14:paraId="3A00886B" w14:textId="77777777" w:rsidR="00076776" w:rsidRDefault="00076776"/>
    <w:p w14:paraId="417E4EE8" w14:textId="77777777" w:rsidR="00076776" w:rsidRDefault="00000000">
      <w:r>
        <w:t xml:space="preserve">454: </w:t>
      </w:r>
      <w:r>
        <w:rPr>
          <w:b/>
        </w:rPr>
        <w:t>toponymic reconfiguration</w:t>
      </w:r>
      <w:r>
        <w:t xml:space="preserve"> </w:t>
      </w:r>
    </w:p>
    <w:p w14:paraId="25A5F28C" w14:textId="77777777" w:rsidR="00076776" w:rsidRDefault="00000000">
      <w:r>
        <w:t xml:space="preserve">457: </w:t>
      </w:r>
      <w:r>
        <w:rPr>
          <w:b/>
        </w:rPr>
        <w:t>symbolic capital</w:t>
      </w:r>
      <w:r>
        <w:t>: “… a means of creating social distinction and status for both elite and marginalized groups as well as individual actors (Hagen, 2007; Alderman, 2008; Rose-Redwood, 2008b). Of course, symbolic capital can be converted into economic capital, but it often holds even greater currency as people vie for prestige and influence within the larger social and political order (Forest and Johnson, 2002).</w:t>
      </w:r>
    </w:p>
    <w:p w14:paraId="6A56BDA6" w14:textId="77777777" w:rsidR="00076776" w:rsidRDefault="00000000">
      <w:r>
        <w:t xml:space="preserve">458: @WIAM. </w:t>
      </w:r>
      <w:proofErr w:type="spellStart"/>
      <w:r>
        <w:rPr>
          <w:b/>
        </w:rPr>
        <w:t>commerative</w:t>
      </w:r>
      <w:proofErr w:type="spellEnd"/>
      <w:r>
        <w:rPr>
          <w:b/>
        </w:rPr>
        <w:t xml:space="preserve"> toponyms</w:t>
      </w:r>
      <w:r>
        <w:t xml:space="preserve"> </w:t>
      </w:r>
      <w:proofErr w:type="gramStart"/>
      <w:r>
        <w:t>as a way to</w:t>
      </w:r>
      <w:proofErr w:type="gramEnd"/>
      <w:r>
        <w:t xml:space="preserve"> describe “Naming places after their founders.” </w:t>
      </w:r>
    </w:p>
    <w:p w14:paraId="1CB66C83" w14:textId="77777777" w:rsidR="00076776" w:rsidRDefault="00000000">
      <w:r>
        <w:t xml:space="preserve">459: @WIAM. </w:t>
      </w:r>
      <w:r>
        <w:rPr>
          <w:b/>
        </w:rPr>
        <w:t>cartographic text</w:t>
      </w:r>
      <w:r>
        <w:t xml:space="preserve"> as way to describe a “map,” for example, made of the text of street names, or a “particular ‘city text’ displayed on street signs and maps” (Azaryahu, 1996). </w:t>
      </w:r>
    </w:p>
    <w:p w14:paraId="1D6DA3F3" w14:textId="77777777" w:rsidR="00076776" w:rsidRDefault="00000000">
      <w:r>
        <w:t xml:space="preserve">460: </w:t>
      </w:r>
      <w:r>
        <w:rPr>
          <w:b/>
        </w:rPr>
        <w:t>semiotic revolution</w:t>
      </w:r>
      <w:r>
        <w:t xml:space="preserve">: “an ideologically motivated rewriting of city-texts … that signifies discontinuities in political history.” </w:t>
      </w:r>
    </w:p>
    <w:p w14:paraId="12376A43" w14:textId="77777777" w:rsidR="00076776" w:rsidRDefault="00000000">
      <w:r>
        <w:lastRenderedPageBreak/>
        <w:t>460: “‘</w:t>
      </w:r>
      <w:r>
        <w:rPr>
          <w:b/>
        </w:rPr>
        <w:t>Toponymic cleansing’</w:t>
      </w:r>
      <w:r>
        <w:t xml:space="preserve"> has figured prominently in nationalist contexts, where ‘renaming the landscape’ is directed to weld the national language to the national territory by excluding ‘foreign’ place names (</w:t>
      </w:r>
      <w:proofErr w:type="spellStart"/>
      <w:r>
        <w:t>Azaryahu</w:t>
      </w:r>
      <w:proofErr w:type="spellEnd"/>
      <w:r>
        <w:t xml:space="preserve"> and Golan, 2001).”</w:t>
      </w:r>
    </w:p>
    <w:p w14:paraId="72F43CAA" w14:textId="77777777" w:rsidR="00076776" w:rsidRDefault="00000000">
      <w:r>
        <w:t xml:space="preserve">461: </w:t>
      </w:r>
      <w:r>
        <w:rPr>
          <w:b/>
        </w:rPr>
        <w:t>spatial inscription</w:t>
      </w:r>
      <w:r>
        <w:t xml:space="preserve"> [@OAT] “The naming of places, then, is not an isolated semiotic activity but rather a form of spatial inscription that has considerable material implications as one among many ‘apparatuses of identification’ (Caplan and Torpey, 2001).” </w:t>
      </w:r>
    </w:p>
    <w:p w14:paraId="1EC84C08" w14:textId="77777777" w:rsidR="00076776" w:rsidRDefault="00000000">
      <w:r>
        <w:t xml:space="preserve">461: </w:t>
      </w:r>
      <w:r>
        <w:rPr>
          <w:b/>
        </w:rPr>
        <w:t>governmentality</w:t>
      </w:r>
      <w:r>
        <w:t>, from Foucault, to mean a “governmental rationality, particularly his emphasis on the key role that statistics has historically played in the formation of governmental knowledges of ‘populations’.”</w:t>
      </w:r>
    </w:p>
    <w:p w14:paraId="05199591" w14:textId="77777777" w:rsidR="00076776" w:rsidRDefault="00000000">
      <w:r>
        <w:t xml:space="preserve">461 </w:t>
      </w:r>
      <w:r>
        <w:rPr>
          <w:b/>
        </w:rPr>
        <w:t>geolocational regime</w:t>
      </w:r>
      <w:r>
        <w:t xml:space="preserve">: “When linked to a coordinated system of house numbers and postal codes, a city’s street names become elements of a </w:t>
      </w:r>
      <w:r>
        <w:rPr>
          <w:b/>
          <w:i/>
        </w:rPr>
        <w:t>geolocational regime</w:t>
      </w:r>
      <w:r>
        <w:t xml:space="preserve"> that enables governmental authorities to more easily tax, police, and provide services to their populations, allows companies to spatially target potential consumers using various geodemographic information systems; and becomes incorporated into the taken-for-granted infrastructure of daily life.”</w:t>
      </w:r>
    </w:p>
    <w:p w14:paraId="418B9A2B" w14:textId="77777777" w:rsidR="00076776" w:rsidRDefault="00000000">
      <w:r>
        <w:t>463: ‘</w:t>
      </w:r>
      <w:r>
        <w:rPr>
          <w:b/>
        </w:rPr>
        <w:t>toponymic warfare</w:t>
      </w:r>
      <w:r>
        <w:t xml:space="preserve">’ to describe the extent to which marginalized nationalities and linguistic cultures within countries have appropriated and rewritten place names on maps … </w:t>
      </w:r>
    </w:p>
    <w:p w14:paraId="23A629D5" w14:textId="77777777" w:rsidR="00076776" w:rsidRDefault="00000000">
      <w:r>
        <w:rPr>
          <w:highlight w:val="green"/>
        </w:rPr>
        <w:t>463</w:t>
      </w:r>
      <w:r>
        <w:t xml:space="preserve"> @WIAM@IKSG: </w:t>
      </w:r>
      <w:r>
        <w:rPr>
          <w:b/>
        </w:rPr>
        <w:t>toponymic resistance</w:t>
      </w:r>
      <w:r>
        <w:t xml:space="preserve"> is often carried out through everyday practices and performances, marginalized groups can and do use formal, political means to challenge established naming practices.</w:t>
      </w:r>
    </w:p>
    <w:p w14:paraId="389F8B6C" w14:textId="77777777" w:rsidR="00076776" w:rsidRDefault="00000000">
      <w:r>
        <w:t xml:space="preserve">465 @NeoLib@DHmeth: </w:t>
      </w:r>
      <w:r>
        <w:rPr>
          <w:b/>
        </w:rPr>
        <w:t xml:space="preserve">consequential geographies: </w:t>
      </w:r>
      <w:r>
        <w:t>… scholars might benefit from making greater connections to research on the injustices of neoliberal governance (Macleod, 2002), the ‘consequential geographies’ of property (</w:t>
      </w:r>
      <w:proofErr w:type="spellStart"/>
      <w:r>
        <w:t>Blomley</w:t>
      </w:r>
      <w:proofErr w:type="spellEnd"/>
      <w:r>
        <w:t>, 2005)</w:t>
      </w:r>
    </w:p>
    <w:p w14:paraId="5BB48D2B" w14:textId="77777777" w:rsidR="00076776" w:rsidRDefault="00076776"/>
    <w:p w14:paraId="389889C8" w14:textId="77777777" w:rsidR="00076776" w:rsidRDefault="00000000">
      <w:pPr>
        <w:pStyle w:val="Heading2"/>
      </w:pPr>
      <w:r>
        <w:t>Core quotes</w:t>
      </w:r>
    </w:p>
    <w:p w14:paraId="4EEA8B5B" w14:textId="77777777" w:rsidR="00076776" w:rsidRDefault="00076776"/>
    <w:p w14:paraId="16F109C3" w14:textId="77777777" w:rsidR="00076776" w:rsidRDefault="00000000">
      <w:r>
        <w:rPr>
          <w:highlight w:val="green"/>
        </w:rPr>
        <w:t>454</w:t>
      </w:r>
      <w:r>
        <w:t xml:space="preserve"> @Arg@Topo@IPol </w:t>
      </w:r>
    </w:p>
    <w:p w14:paraId="3810404D" w14:textId="77777777" w:rsidR="00076776" w:rsidRDefault="00000000">
      <w:pPr>
        <w:ind w:left="720"/>
      </w:pPr>
      <w:r>
        <w:t xml:space="preserve">The discursive act of assigning a name to a given location does much more than merely denote an already-existing ‘place’. Rather, as scholars from various fields have suggested, the act of naming is itself a performative practice that calls forth the ‘place’ to which it refers by attempting to stabilize the unwieldy contradictions of </w:t>
      </w:r>
      <w:proofErr w:type="spellStart"/>
      <w:r>
        <w:t>sociospatial</w:t>
      </w:r>
      <w:proofErr w:type="spellEnd"/>
      <w:r>
        <w:t xml:space="preserve"> processes into the seemingly more ‘</w:t>
      </w:r>
      <w:proofErr w:type="spellStart"/>
      <w:r>
        <w:t>managable</w:t>
      </w:r>
      <w:proofErr w:type="spellEnd"/>
      <w:r>
        <w:t xml:space="preserve">’ order of textual inscription (Palonen, 1993; Yurchak, 2000; Kearns and Berg, 2002; Rose-Redwood, 2008c). While Massey (2005: 54) rightly warns us against embracing ‘the longstanding tendency to tame the spatial into the textual’, this need not imply a wholesale dismissal of the interrelations of space, place, and textuality. On the contrary, a critical analysis of the politics of spatial inscription remains one of the most effective strategies for challenging essentialist claims to affixing stable identities to </w:t>
      </w:r>
      <w:proofErr w:type="gramStart"/>
      <w:r>
        <w:t>particular spaces</w:t>
      </w:r>
      <w:proofErr w:type="gramEnd"/>
      <w:r>
        <w:t xml:space="preserve">. Moreover, the naming of places is one of the primary means of attempting to construct clearly demarcated spatial identities. </w:t>
      </w:r>
    </w:p>
    <w:p w14:paraId="627FA83B" w14:textId="77777777" w:rsidR="00076776" w:rsidRDefault="00076776"/>
    <w:p w14:paraId="5665CC9A" w14:textId="77777777" w:rsidR="00076776" w:rsidRDefault="00000000">
      <w:r>
        <w:t>455 @Sign@Topo@Acad</w:t>
      </w:r>
    </w:p>
    <w:p w14:paraId="1A6722BD" w14:textId="77777777" w:rsidR="00076776" w:rsidRDefault="00000000">
      <w:pPr>
        <w:ind w:left="720"/>
      </w:pPr>
      <w:r>
        <w:t xml:space="preserve">A growing number of scholars have emphasized the importance of understanding place naming as a contested spatial practice </w:t>
      </w:r>
      <w:r>
        <w:rPr>
          <w:b/>
        </w:rPr>
        <w:t>rather than viewing place names as transparent</w:t>
      </w:r>
      <w:r>
        <w:t xml:space="preserve"> </w:t>
      </w:r>
      <w:r>
        <w:rPr>
          <w:b/>
        </w:rPr>
        <w:t>signifiers</w:t>
      </w:r>
      <w:r>
        <w:t xml:space="preserve"> that designate places as ‘objects’ or ‘artifacts’ within a predefined geographical space (Berg and </w:t>
      </w:r>
      <w:proofErr w:type="spellStart"/>
      <w:r>
        <w:t>Vuolteenaho</w:t>
      </w:r>
      <w:proofErr w:type="spellEnd"/>
      <w:r>
        <w:t>, 2009).</w:t>
      </w:r>
    </w:p>
    <w:p w14:paraId="01AC6AA1" w14:textId="77777777" w:rsidR="00076776" w:rsidRDefault="00076776"/>
    <w:p w14:paraId="4E835E48" w14:textId="77777777" w:rsidR="00076776" w:rsidRDefault="00000000">
      <w:r>
        <w:lastRenderedPageBreak/>
        <w:t>@SpacePlace@Arg</w:t>
      </w:r>
    </w:p>
    <w:p w14:paraId="20C4C80D" w14:textId="77777777" w:rsidR="00076776" w:rsidRDefault="00000000">
      <w:pPr>
        <w:ind w:left="720"/>
      </w:pPr>
      <w:r>
        <w:rPr>
          <w:b/>
        </w:rPr>
        <w:t>We would like to argue</w:t>
      </w:r>
      <w:r>
        <w:t xml:space="preserve">, however, that the level of explicit and self-reflexive engagement with critical theories of space and place over the past two decades has marked an important turning point in toponymic research …. We see in this work the potential </w:t>
      </w:r>
      <w:r>
        <w:rPr>
          <w:b/>
        </w:rPr>
        <w:t>to overturn the long-standing perception that toponymy is reducible to the encyclopedic search for the authentic origins of names while also challenging the notion that a ‘definitive’ classification system can be constructed to impose order on the bewildering multiplicity of place names</w:t>
      </w:r>
      <w:r>
        <w:t>.</w:t>
      </w:r>
    </w:p>
    <w:p w14:paraId="383B67AD" w14:textId="77777777" w:rsidR="00076776" w:rsidRDefault="00076776"/>
    <w:p w14:paraId="5A05203A" w14:textId="77777777" w:rsidR="00076776" w:rsidRDefault="00000000">
      <w:r>
        <w:t>456 @WIAM@</w:t>
      </w:r>
      <w:proofErr w:type="gramStart"/>
      <w:r>
        <w:t>Link:</w:t>
      </w:r>
      <w:r>
        <w:rPr>
          <w:highlight w:val="magenta"/>
        </w:rPr>
        <w:t>Carter</w:t>
      </w:r>
      <w:proofErr w:type="gramEnd"/>
      <w:r>
        <w:t>@Pow</w:t>
      </w:r>
    </w:p>
    <w:p w14:paraId="11B23CBF" w14:textId="77777777" w:rsidR="00076776" w:rsidRDefault="00000000">
      <w:pPr>
        <w:ind w:left="720"/>
      </w:pPr>
      <w:r>
        <w:t xml:space="preserve">Moreover, the publication of Paul Carter’s now-classic study, </w:t>
      </w:r>
      <w:r>
        <w:rPr>
          <w:i/>
        </w:rPr>
        <w:t>The Road to Botany Bay</w:t>
      </w:r>
      <w:r>
        <w:t xml:space="preserve"> (1987), also drew attention to the constitutive role of naming in the production of ‘places’ that were invested with cultural meaning and social power. Focusing particularly on </w:t>
      </w:r>
      <w:r>
        <w:rPr>
          <w:b/>
        </w:rPr>
        <w:t>the ways in which naming practices literally ‘invented’ new spaces of colonial possession</w:t>
      </w:r>
      <w:r>
        <w:t>, Carter demonstrates how the act of naming brought specific places into the realm of ‘</w:t>
      </w:r>
      <w:r>
        <w:rPr>
          <w:b/>
        </w:rPr>
        <w:t>cultural circulation’</w:t>
      </w:r>
      <w:r>
        <w:t>, thereby ‘</w:t>
      </w:r>
      <w:r>
        <w:rPr>
          <w:b/>
        </w:rPr>
        <w:t>transforming space into an object of know- ledge, something that could be explored and read</w:t>
      </w:r>
      <w:r>
        <w:t>’ (Carter, 1987: 28, 67).</w:t>
      </w:r>
    </w:p>
    <w:p w14:paraId="7DD11F89" w14:textId="77777777" w:rsidR="00076776" w:rsidRDefault="00076776"/>
    <w:p w14:paraId="5AB3B4CB" w14:textId="77777777" w:rsidR="00076776" w:rsidRDefault="00000000">
      <w:r>
        <w:t xml:space="preserve">Carter’s quote shows the link between textuality and narrative and place “making.” </w:t>
      </w:r>
    </w:p>
    <w:p w14:paraId="3B2BAA7C" w14:textId="77777777" w:rsidR="00076776" w:rsidRDefault="00076776"/>
    <w:p w14:paraId="15382F9D" w14:textId="77777777" w:rsidR="00076776" w:rsidRDefault="00000000">
      <w:r>
        <w:t>@CGaze@</w:t>
      </w:r>
      <w:proofErr w:type="gramStart"/>
      <w:r>
        <w:t>Link:</w:t>
      </w:r>
      <w:r>
        <w:rPr>
          <w:highlight w:val="magenta"/>
        </w:rPr>
        <w:t>Whatmore</w:t>
      </w:r>
      <w:proofErr w:type="gramEnd"/>
      <w:r>
        <w:t xml:space="preserve"> and a counter to Carter’s POV</w:t>
      </w:r>
    </w:p>
    <w:p w14:paraId="27876856" w14:textId="77777777" w:rsidR="00076776" w:rsidRDefault="00000000">
      <w:pPr>
        <w:ind w:left="720"/>
      </w:pPr>
      <w:r>
        <w:t xml:space="preserve">Whatmore (2002: 68), however, questions Carter’s ‘insistence on the primacy of language and his preoccupation with naming as a definitive spatial practice’. She contends that the focus on imperial naming strategies – while important – often results in </w:t>
      </w:r>
      <w:r>
        <w:rPr>
          <w:b/>
        </w:rPr>
        <w:t>the conceptual erasure of those indigenous spaces that were not subject to the intentional gaze of imperial inscription</w:t>
      </w:r>
      <w:r>
        <w:t xml:space="preserve"> (see also Ryan, 1996; Clayton, 2000).</w:t>
      </w:r>
    </w:p>
    <w:p w14:paraId="10BA7DF7" w14:textId="77777777" w:rsidR="00076776" w:rsidRDefault="00076776"/>
    <w:p w14:paraId="5D7F3496" w14:textId="77777777" w:rsidR="00076776" w:rsidRDefault="00000000">
      <w:r>
        <w:t xml:space="preserve">We can find countless examples of this in the </w:t>
      </w:r>
      <w:r>
        <w:rPr>
          <w:i/>
        </w:rPr>
        <w:t>Despatches</w:t>
      </w:r>
      <w:r>
        <w:t xml:space="preserve"> map collection, perhaps. </w:t>
      </w:r>
    </w:p>
    <w:p w14:paraId="74113FBF" w14:textId="77777777" w:rsidR="00076776" w:rsidRDefault="00076776"/>
    <w:p w14:paraId="54C779BF" w14:textId="77777777" w:rsidR="00076776" w:rsidRDefault="00000000">
      <w:r>
        <w:t>457 @Topo@Polity</w:t>
      </w:r>
    </w:p>
    <w:p w14:paraId="03967BDE" w14:textId="77777777" w:rsidR="00076776" w:rsidRDefault="00000000">
      <w:pPr>
        <w:ind w:left="720"/>
      </w:pPr>
      <w:r>
        <w:t>In critical place-name studies, the emphasis has been placed not so much on the name itself but rather on the cultural politics of naming – that is, how people seek to control, negotiate, and contest the naming process as they engage in wider struggles for legitimacy and visibility.</w:t>
      </w:r>
    </w:p>
    <w:p w14:paraId="3F1AA135" w14:textId="77777777" w:rsidR="00076776" w:rsidRDefault="00076776"/>
    <w:p w14:paraId="7BA73283" w14:textId="77777777" w:rsidR="00076776" w:rsidRDefault="00000000">
      <w:r>
        <w:t>@WIAM@Topo@Pow@Ipol</w:t>
      </w:r>
    </w:p>
    <w:p w14:paraId="5849B7A3" w14:textId="77777777" w:rsidR="00076776" w:rsidRDefault="00000000">
      <w:pPr>
        <w:ind w:left="720"/>
      </w:pPr>
      <w:r>
        <w:t xml:space="preserve">As this research shows, the renaming of streets has proven to be an especially popular strategy for </w:t>
      </w:r>
      <w:r>
        <w:rPr>
          <w:b/>
        </w:rPr>
        <w:t>removing signs of earlier regimes and honoring a new set of heroes</w:t>
      </w:r>
      <w:r>
        <w:t xml:space="preserve">, </w:t>
      </w:r>
      <w:r>
        <w:rPr>
          <w:b/>
        </w:rPr>
        <w:t>campaigns, and causes</w:t>
      </w:r>
      <w:r>
        <w:t xml:space="preserve"> (Ferguson, 1988; Palonen, 1993; </w:t>
      </w:r>
      <w:proofErr w:type="spellStart"/>
      <w:r>
        <w:t>Azaryahu</w:t>
      </w:r>
      <w:proofErr w:type="spellEnd"/>
      <w:r>
        <w:t xml:space="preserve">, 1996; Yeoh, 1996; Faraco and Murphy, 1997; Alderman, 2000; Light et al., 2002; </w:t>
      </w:r>
      <w:proofErr w:type="spellStart"/>
      <w:r>
        <w:t>Pinchevski</w:t>
      </w:r>
      <w:proofErr w:type="spellEnd"/>
      <w:r>
        <w:t xml:space="preserve"> and </w:t>
      </w:r>
      <w:proofErr w:type="spellStart"/>
      <w:r>
        <w:t>Torgovnik</w:t>
      </w:r>
      <w:proofErr w:type="spellEnd"/>
      <w:r>
        <w:t>, 2002; Light, 2004; Rose-Redwood, 2008b).</w:t>
      </w:r>
    </w:p>
    <w:p w14:paraId="1F16BF35" w14:textId="77777777" w:rsidR="00076776" w:rsidRDefault="00076776"/>
    <w:p w14:paraId="46B229AC" w14:textId="77777777" w:rsidR="00076776" w:rsidRDefault="00000000">
      <w:r>
        <w:t>@WIAM@Hegem@Arg@Boom!</w:t>
      </w:r>
    </w:p>
    <w:p w14:paraId="3BF58805" w14:textId="77777777" w:rsidR="00076776" w:rsidRDefault="00000000">
      <w:pPr>
        <w:ind w:left="720"/>
      </w:pPr>
      <w:r>
        <w:rPr>
          <w:b/>
        </w:rPr>
        <w:t xml:space="preserve">It is precisely this process of using street naming as a mechanism for </w:t>
      </w:r>
      <w:r>
        <w:rPr>
          <w:b/>
          <w:i/>
        </w:rPr>
        <w:t>naturalizing</w:t>
      </w:r>
      <w:r>
        <w:rPr>
          <w:b/>
        </w:rPr>
        <w:t xml:space="preserve"> hegemonic power structures that critical place-name scholars have sought to challenge </w:t>
      </w:r>
      <w:r>
        <w:t xml:space="preserve">by demonstrating the historical instability and contingency of place-naming </w:t>
      </w:r>
      <w:r>
        <w:lastRenderedPageBreak/>
        <w:t xml:space="preserve">regimes. … there is also a growing recognition that </w:t>
      </w:r>
      <w:r>
        <w:rPr>
          <w:b/>
        </w:rPr>
        <w:t>the naming of places is implicated in the production of racialized, gendered, and commodified landscapes</w:t>
      </w:r>
      <w:r>
        <w:t xml:space="preserve"> (Berg and Kearns, 1996; Boyd, 2000; Yurchak, 2000; Kearns and Berg, 2002; Hagen, 2007; Mitchelson et al., 2007; Alderman, 2008; Rose-Redwood, 2008b).</w:t>
      </w:r>
    </w:p>
    <w:p w14:paraId="55700E2B" w14:textId="77777777" w:rsidR="00076776" w:rsidRDefault="00076776"/>
    <w:p w14:paraId="46DC661B" w14:textId="77777777" w:rsidR="00076776" w:rsidRDefault="00000000">
      <w:r>
        <w:t>458 @WIAM@Map@Ipol@Topo@Intertext@Ethics and what maps “do” as objects:</w:t>
      </w:r>
    </w:p>
    <w:p w14:paraId="1045F586" w14:textId="77777777" w:rsidR="00076776" w:rsidRDefault="00000000">
      <w:pPr>
        <w:ind w:left="720"/>
      </w:pPr>
      <w:r>
        <w:t xml:space="preserve">The socially contested nature of place names comes from the fact that they are </w:t>
      </w:r>
      <w:r>
        <w:rPr>
          <w:b/>
        </w:rPr>
        <w:t>powerful semiotic texts embedded in larger systems of meaning and discourse</w:t>
      </w:r>
      <w:r>
        <w:t xml:space="preserve"> that are read, interpreted, and acted upon socially by people in different ways (Duncan, 1990; </w:t>
      </w:r>
      <w:proofErr w:type="spellStart"/>
      <w:r>
        <w:t>Pinchevski</w:t>
      </w:r>
      <w:proofErr w:type="spellEnd"/>
      <w:r>
        <w:t xml:space="preserve"> and </w:t>
      </w:r>
      <w:proofErr w:type="spellStart"/>
      <w:r>
        <w:t>Torgovnik</w:t>
      </w:r>
      <w:proofErr w:type="spellEnd"/>
      <w:r>
        <w:t xml:space="preserve">, 2002). </w:t>
      </w:r>
      <w:r>
        <w:rPr>
          <w:b/>
        </w:rPr>
        <w:t>Toponyms</w:t>
      </w:r>
      <w:r>
        <w:t xml:space="preserve">, according to Thornton (1997: 221), ‘evoke a wide range of poignant associations, mental and physical, illustrating how people learn to “think” with the landscape and not just “about </w:t>
      </w:r>
      <w:proofErr w:type="gramStart"/>
      <w:r>
        <w:t>it”‘</w:t>
      </w:r>
      <w:proofErr w:type="gramEnd"/>
      <w:r>
        <w:t xml:space="preserve">. Place names are also important in </w:t>
      </w:r>
      <w:r>
        <w:rPr>
          <w:b/>
        </w:rPr>
        <w:t>creating and maintaining emotional attachments to places, even in the face of physical alienation from these very same places</w:t>
      </w:r>
      <w:r>
        <w:t xml:space="preserve"> (Kearney and Bradley, 2009; see also Davidson et al., 2005). Associated </w:t>
      </w:r>
      <w:r>
        <w:rPr>
          <w:b/>
        </w:rPr>
        <w:t>intertextually</w:t>
      </w:r>
      <w:r>
        <w:t xml:space="preserve"> with larger cultural narratives and stories, </w:t>
      </w:r>
      <w:r>
        <w:rPr>
          <w:b/>
        </w:rPr>
        <w:t>toponymic inscriptions serve as a ‘means of situating people in places’ and assisting the public in making moral and ethical judgments about themselves and others</w:t>
      </w:r>
      <w:r>
        <w:t xml:space="preserve"> (Carbaugh and Rudnick, 2006: 167).</w:t>
      </w:r>
    </w:p>
    <w:p w14:paraId="66E8D5BE" w14:textId="77777777" w:rsidR="00076776" w:rsidRDefault="00076776"/>
    <w:p w14:paraId="0D5CBF7B" w14:textId="77777777" w:rsidR="00076776" w:rsidRDefault="00000000">
      <w:r>
        <w:t>459 @WIAM@Topo@Ideal</w:t>
      </w:r>
    </w:p>
    <w:p w14:paraId="3A2A82EA" w14:textId="77777777" w:rsidR="00076776" w:rsidRDefault="00000000">
      <w:pPr>
        <w:ind w:left="720"/>
      </w:pPr>
      <w:r>
        <w:t>When commemoration is prioritized over orientation, the commemorative function can interfere with and even undermine the utilitarian function of a toponym. … After a commemorative name is given to a place, it increasingly becomes associated with its geographic location: history becomes geography. … The version of history that commemorative place naming introduces into social communication is experienced as obvious, part of the ‘natural order’.</w:t>
      </w:r>
    </w:p>
    <w:p w14:paraId="0BED0B73" w14:textId="77777777" w:rsidR="00076776" w:rsidRDefault="00076776"/>
    <w:p w14:paraId="1FDCF659" w14:textId="77777777" w:rsidR="00076776" w:rsidRDefault="00000000">
      <w:r>
        <w:t>460 @SpacePlace@Ipol@Sign</w:t>
      </w:r>
    </w:p>
    <w:p w14:paraId="7AE37751" w14:textId="77777777" w:rsidR="00076776" w:rsidRDefault="00000000">
      <w:pPr>
        <w:ind w:left="720"/>
      </w:pPr>
      <w:r>
        <w:t>Most accounts of the semiotics of place naming devote considerable attention to the ways in which toponyms constitute the landscape as a ‘text’ through which the commemorative priorities of a people can be read.</w:t>
      </w:r>
    </w:p>
    <w:p w14:paraId="0365471B" w14:textId="77777777" w:rsidR="00076776" w:rsidRDefault="00076776"/>
    <w:p w14:paraId="5F6580D7" w14:textId="77777777" w:rsidR="00076776" w:rsidRDefault="00000000">
      <w:r>
        <w:t>461 @WIAM@Arg@Ipol</w:t>
      </w:r>
    </w:p>
    <w:p w14:paraId="540CB47C" w14:textId="77777777" w:rsidR="00076776" w:rsidRDefault="00000000">
      <w:pPr>
        <w:ind w:left="720"/>
      </w:pPr>
      <w:r>
        <w:t>To put it more concisely, we need to develop the theoretical tools necessary to pry open the ‘</w:t>
      </w:r>
      <w:proofErr w:type="spellStart"/>
      <w:r>
        <w:t>blackbox</w:t>
      </w:r>
      <w:proofErr w:type="spellEnd"/>
      <w:r>
        <w:t xml:space="preserve">’ of spatial denotation much as has already been done with the symbolic realm of connotation. / A useful point of departure to initiate such an encounter between critical place-name studies and an analysis of the politics of calculation is to recognize that place naming is part of a broader history of spatial identification. </w:t>
      </w:r>
    </w:p>
    <w:p w14:paraId="0674E6F8" w14:textId="77777777" w:rsidR="00076776" w:rsidRDefault="00076776"/>
    <w:p w14:paraId="4DCD7D7A" w14:textId="77777777" w:rsidR="00076776" w:rsidRDefault="00000000">
      <w:pPr>
        <w:rPr>
          <w:b/>
        </w:rPr>
      </w:pPr>
      <w:r>
        <w:rPr>
          <w:b/>
        </w:rPr>
        <w:t>462-63 @WIAM@Boom!</w:t>
      </w:r>
    </w:p>
    <w:p w14:paraId="5F5392CD" w14:textId="77777777" w:rsidR="00076776" w:rsidRDefault="00000000">
      <w:pPr>
        <w:ind w:left="720"/>
      </w:pPr>
      <w:r>
        <w:t xml:space="preserve">The results of these </w:t>
      </w:r>
      <w:r>
        <w:rPr>
          <w:b/>
        </w:rPr>
        <w:t>naming struggles have a direct bearing on whose vision of ‘reality’ will appear to matter socially, since</w:t>
      </w:r>
      <w:r>
        <w:t xml:space="preserve"> </w:t>
      </w:r>
      <w:r>
        <w:rPr>
          <w:b/>
        </w:rPr>
        <w:t>landscapes are not just the products of social power but also tools or resources for achieving it</w:t>
      </w:r>
      <w:r>
        <w:t>.</w:t>
      </w:r>
    </w:p>
    <w:p w14:paraId="2433A861" w14:textId="77777777" w:rsidR="00076776" w:rsidRDefault="00076776">
      <w:pPr>
        <w:ind w:left="720"/>
      </w:pPr>
    </w:p>
    <w:p w14:paraId="6CCF45E9" w14:textId="77777777" w:rsidR="00076776" w:rsidRDefault="00000000">
      <w:r>
        <w:t>466 @WIAM@Ethics@DHmeth</w:t>
      </w:r>
    </w:p>
    <w:p w14:paraId="66B9F015" w14:textId="77777777" w:rsidR="00076776" w:rsidRDefault="00000000">
      <w:pPr>
        <w:ind w:left="720"/>
      </w:pPr>
      <w:r>
        <w:lastRenderedPageBreak/>
        <w:t xml:space="preserve">… the question of methodology. There is a growing recognition that the traditional reliance on maps and gazetteers to study place names is inadequate and should be supplemented with some combination of archival research, participant observation, interviews, and ethnographic methods (Myers, 1996). Such a </w:t>
      </w:r>
      <w:r>
        <w:rPr>
          <w:b/>
        </w:rPr>
        <w:t>mixed-methods approach lends itself more to a consideration of toponymic space not only as a ‘text’ but also as resulting from a set of ‘performative’ practices</w:t>
      </w:r>
      <w:r>
        <w:t>.</w:t>
      </w:r>
    </w:p>
    <w:p w14:paraId="063C39D0" w14:textId="77777777" w:rsidR="00076776" w:rsidRDefault="00076776">
      <w:pPr>
        <w:ind w:left="720"/>
      </w:pPr>
    </w:p>
    <w:p w14:paraId="4F828E6B" w14:textId="77777777" w:rsidR="00076776" w:rsidRDefault="00000000">
      <w:r>
        <w:t>@Capital@Topo@Arg</w:t>
      </w:r>
    </w:p>
    <w:p w14:paraId="5E9E7F01" w14:textId="77777777" w:rsidR="00076776" w:rsidRDefault="00000000">
      <w:pPr>
        <w:ind w:left="720"/>
      </w:pPr>
      <w:r>
        <w:t xml:space="preserve">… it is critical to consider the social costs of indiscriminately allowing the </w:t>
      </w:r>
      <w:r>
        <w:rPr>
          <w:i/>
        </w:rPr>
        <w:t>exchange-value</w:t>
      </w:r>
      <w:r>
        <w:t xml:space="preserve"> of a name to triumph over its </w:t>
      </w:r>
      <w:r>
        <w:rPr>
          <w:i/>
        </w:rPr>
        <w:t>use-value</w:t>
      </w:r>
      <w:r>
        <w:t xml:space="preserve"> in the public sphere. As place names are increasingly being commodified, it is worth thinking more critically about the importance of the use-value of place naming as an integral part of the social production of public space. </w:t>
      </w:r>
    </w:p>
    <w:p w14:paraId="017B24EE" w14:textId="77777777" w:rsidR="00076776" w:rsidRDefault="00076776"/>
    <w:p w14:paraId="6C447096" w14:textId="77777777" w:rsidR="00076776" w:rsidRDefault="00000000">
      <w:pPr>
        <w:pStyle w:val="Heading2"/>
      </w:pPr>
      <w:r>
        <w:t>Secondary quotes</w:t>
      </w:r>
    </w:p>
    <w:p w14:paraId="18A01831" w14:textId="77777777" w:rsidR="00076776" w:rsidRDefault="00000000">
      <w:r>
        <w:t xml:space="preserve">455 </w:t>
      </w:r>
      <w:r>
        <w:rPr>
          <w:rFonts w:ascii="Noto Sans Symbols" w:eastAsia="Noto Sans Symbols" w:hAnsi="Noto Sans Symbols" w:cs="Noto Sans Symbols"/>
        </w:rPr>
        <w:t>🡪</w:t>
      </w:r>
      <w:r>
        <w:t xml:space="preserve"> genealogy of place-name studies begins, with overview of paper’s structure at bottom of 455 / 456 important sources in toponymy studies, esp. Carter’s </w:t>
      </w:r>
      <w:r>
        <w:rPr>
          <w:i/>
        </w:rPr>
        <w:t>The Road to Botany Bay</w:t>
      </w:r>
      <w:r>
        <w:t xml:space="preserve"> / 457 a shift into the 1990s brings change to place-name studies / 458 Saussure and Peirce and “semiotic traditions” / 460 map as palimpsest / 462 @WIAM new “modes of subjectivity as geocoded spaces … for locating the place of the ‘self’ and ‘others’ in both social and spatial terms. / …process of state-driven ‘rationalization,’ and @</w:t>
      </w:r>
      <w:proofErr w:type="gramStart"/>
      <w:r>
        <w:t>Link:</w:t>
      </w:r>
      <w:r>
        <w:rPr>
          <w:highlight w:val="magenta"/>
        </w:rPr>
        <w:t>Foucault</w:t>
      </w:r>
      <w:proofErr w:type="gramEnd"/>
      <w:r>
        <w:t xml:space="preserve"> and the dangers of rationalization / calls for Foucault reading of toponymy. / Power relations and whose version of reality / 464 “Squaw Peak” example of name change / Martin Luther King / internet domain …controlled by white supremacists / 465 @Resist: maps and “distributive justice” / @WIAM “property” and naming conventions / New place names could “work to alienate and further segregate these groups (Alderman, 2002a). As </w:t>
      </w:r>
      <w:proofErr w:type="spellStart"/>
      <w:r>
        <w:t>Raento</w:t>
      </w:r>
      <w:proofErr w:type="spellEnd"/>
      <w:r>
        <w:t xml:space="preserve"> and Watson (2000: 728) recognize, ‘Naming and re-naming are strategies of power, and location matters, because this power is only truly exercised when it is “seen” in the appropriate place’. / 465, right column: on who gets to name / ‘political correctness’ / 466 “the commodification of place-naming rights” </w:t>
      </w:r>
    </w:p>
    <w:p w14:paraId="50CCCBD1" w14:textId="77777777" w:rsidR="00076776" w:rsidRDefault="00076776"/>
    <w:p w14:paraId="5BB3FDB8" w14:textId="77777777" w:rsidR="00076776" w:rsidRDefault="00000000">
      <w:pPr>
        <w:pStyle w:val="Heading2"/>
      </w:pPr>
      <w:r>
        <w:t>Notes</w:t>
      </w:r>
    </w:p>
    <w:p w14:paraId="23197228" w14:textId="77777777" w:rsidR="00076776" w:rsidRDefault="00000000">
      <w:r>
        <w:t xml:space="preserve">@Diss: Take all the place names from a given set of maps and run text-analysis upon them, as one might a text. This could help us track toponymic shifts over time or at historical junctures, like pre- and post-1846 Treaty. </w:t>
      </w:r>
    </w:p>
    <w:p w14:paraId="223D3B1B" w14:textId="77777777" w:rsidR="00076776" w:rsidRDefault="00076776"/>
    <w:p w14:paraId="221134BB" w14:textId="77777777" w:rsidR="00076776" w:rsidRDefault="00000000">
      <w:r>
        <w:t xml:space="preserve">462 @WIAM </w:t>
      </w:r>
    </w:p>
    <w:p w14:paraId="0920AD13" w14:textId="77777777" w:rsidR="00076776" w:rsidRDefault="00000000">
      <w:r>
        <w:t xml:space="preserve">They call for a Foucauldian reading of toponymy. </w:t>
      </w:r>
    </w:p>
    <w:p w14:paraId="459C5BCA" w14:textId="77777777" w:rsidR="00076776" w:rsidRDefault="00076776"/>
    <w:p w14:paraId="1A7A1C77" w14:textId="77777777" w:rsidR="00076776" w:rsidRDefault="00000000">
      <w:r>
        <w:t>@IKSG@WIAM@K?</w:t>
      </w:r>
    </w:p>
    <w:p w14:paraId="59A2D107" w14:textId="77777777" w:rsidR="00076776" w:rsidRDefault="00000000">
      <w:r>
        <w:t xml:space="preserve">Can we see the domain name as a site of toponymic resistance and the digital “landscapes” as the new tabula rasa? Build on that Indigenous Art book form the MF list? </w:t>
      </w:r>
    </w:p>
    <w:p w14:paraId="5639E48A" w14:textId="77777777" w:rsidR="00076776" w:rsidRDefault="00076776"/>
    <w:p w14:paraId="06016AA9" w14:textId="77777777" w:rsidR="00076776" w:rsidRDefault="00000000">
      <w:pPr>
        <w:pStyle w:val="Heading1"/>
      </w:pPr>
      <w:bookmarkStart w:id="35" w:name="_heading=h.ihv636" w:colFirst="0" w:colLast="0"/>
      <w:bookmarkEnd w:id="35"/>
      <w:r>
        <w:lastRenderedPageBreak/>
        <w:t>(2011) Berg, “Banal Naming, Neoliberalism, and Landscapes of Dispossession”</w:t>
      </w:r>
    </w:p>
    <w:p w14:paraId="7F6597C7" w14:textId="77777777" w:rsidR="00076776" w:rsidRDefault="00076776"/>
    <w:p w14:paraId="777CAAF2" w14:textId="77777777" w:rsidR="00076776" w:rsidRDefault="00000000">
      <w:pPr>
        <w:pStyle w:val="Heading2"/>
      </w:pPr>
      <w:r>
        <w:t>Abstract</w:t>
      </w:r>
    </w:p>
    <w:p w14:paraId="04B6F749" w14:textId="77777777" w:rsidR="00076776" w:rsidRDefault="00000000">
      <w:r>
        <w:t xml:space="preserve">Using Vernon as a test-case, Berg argues that speculative, neoliberal, settler real-estate speculation cements colonial dispossession, and that this neocolonialism hides, in part, behind banal-naming practices. </w:t>
      </w:r>
    </w:p>
    <w:p w14:paraId="7A395840" w14:textId="77777777" w:rsidR="00076776" w:rsidRDefault="00076776"/>
    <w:p w14:paraId="04FB79F4" w14:textId="77777777" w:rsidR="00076776" w:rsidRDefault="00000000">
      <w:pPr>
        <w:pStyle w:val="Heading2"/>
      </w:pPr>
      <w:r>
        <w:t>Key words</w:t>
      </w:r>
    </w:p>
    <w:p w14:paraId="3E822BEE" w14:textId="77777777" w:rsidR="00076776" w:rsidRDefault="00000000">
      <w:r>
        <w:t>toponyms, land question, colonialism, banal, dispossession, space and place, neoliberal</w:t>
      </w:r>
    </w:p>
    <w:p w14:paraId="22DC1C55" w14:textId="77777777" w:rsidR="00076776" w:rsidRDefault="00076776"/>
    <w:p w14:paraId="7137BEAB" w14:textId="77777777" w:rsidR="00076776" w:rsidRDefault="00000000">
      <w:pPr>
        <w:pStyle w:val="Heading2"/>
      </w:pPr>
      <w:r>
        <w:t>Essential quote</w:t>
      </w:r>
    </w:p>
    <w:p w14:paraId="029AA581" w14:textId="77777777" w:rsidR="00076776" w:rsidRDefault="00000000">
      <w:r>
        <w:t>20: Banal naming, which gives these resort communities a particular legitimacy-without-controversy, is thus caught up in the dialectic of remembering and forgetting that characterizes so many white settler societies built on the dispossession of Aboriginal lands.</w:t>
      </w:r>
    </w:p>
    <w:p w14:paraId="01CBF140" w14:textId="77777777" w:rsidR="00076776" w:rsidRDefault="00076776"/>
    <w:p w14:paraId="07F2DE40" w14:textId="77777777" w:rsidR="00076776" w:rsidRDefault="00000000">
      <w:pPr>
        <w:pStyle w:val="Heading2"/>
      </w:pPr>
      <w:r>
        <w:t>Terms</w:t>
      </w:r>
    </w:p>
    <w:p w14:paraId="0B44F7FE" w14:textId="77777777" w:rsidR="00076776" w:rsidRDefault="00000000">
      <w:r>
        <w:t xml:space="preserve">15: </w:t>
      </w:r>
      <w:r>
        <w:rPr>
          <w:b/>
        </w:rPr>
        <w:t>neoliberalism</w:t>
      </w:r>
      <w:r>
        <w:t xml:space="preserve">: As in what that following flavours of it have in common: “‘… the deregulation of state control over industry, assaults on organized labor, the reduction of corporate taxes, the downsizing and/or privatization of public services and assets, the dismantling of welfare programs, the enhancement of international capital mobility, and the intensification of </w:t>
      </w:r>
      <w:proofErr w:type="spellStart"/>
      <w:r>
        <w:t>interlocality</w:t>
      </w:r>
      <w:proofErr w:type="spellEnd"/>
      <w:r>
        <w:t xml:space="preserve"> competition’ (Peck et al., 2009: 50).”</w:t>
      </w:r>
    </w:p>
    <w:p w14:paraId="6FEA86B5" w14:textId="77777777" w:rsidR="00076776" w:rsidRDefault="00000000">
      <w:pPr>
        <w:ind w:left="720"/>
      </w:pPr>
      <w:r>
        <w:t xml:space="preserve">15: </w:t>
      </w:r>
      <w:r>
        <w:rPr>
          <w:b/>
        </w:rPr>
        <w:t>roll back neoliberalism</w:t>
      </w:r>
      <w:r>
        <w:t xml:space="preserve">: “… </w:t>
      </w:r>
      <w:r>
        <w:rPr>
          <w:rFonts w:ascii="Times" w:eastAsia="Times" w:hAnsi="Times" w:cs="Times"/>
          <w:color w:val="000000"/>
        </w:rPr>
        <w:t xml:space="preserve">the removal of </w:t>
      </w:r>
      <w:hyperlink r:id="rId33">
        <w:r w:rsidR="00076776">
          <w:rPr>
            <w:rFonts w:ascii="Times" w:eastAsia="Times" w:hAnsi="Times" w:cs="Times"/>
            <w:color w:val="0563C1"/>
            <w:u w:val="single"/>
          </w:rPr>
          <w:t>Keynesian</w:t>
        </w:r>
      </w:hyperlink>
      <w:r>
        <w:rPr>
          <w:rFonts w:ascii="Times" w:eastAsia="Times" w:hAnsi="Times" w:cs="Times"/>
          <w:color w:val="000000"/>
        </w:rPr>
        <w:t>-welfarist institutions…”</w:t>
      </w:r>
      <w:r>
        <w:t xml:space="preserve"> </w:t>
      </w:r>
    </w:p>
    <w:p w14:paraId="133EC7AF" w14:textId="77777777" w:rsidR="00076776" w:rsidRDefault="00000000">
      <w:pPr>
        <w:ind w:left="720"/>
      </w:pPr>
      <w:r>
        <w:t xml:space="preserve">15: </w:t>
      </w:r>
      <w:r>
        <w:rPr>
          <w:b/>
        </w:rPr>
        <w:t>roll out neoliberalism</w:t>
      </w:r>
      <w:r>
        <w:t>: “… the embedding of neoliberal governance and regulation.”</w:t>
      </w:r>
    </w:p>
    <w:p w14:paraId="6A7F447C" w14:textId="77777777" w:rsidR="00076776" w:rsidRDefault="00000000">
      <w:r>
        <w:t xml:space="preserve">16: </w:t>
      </w:r>
      <w:r>
        <w:rPr>
          <w:b/>
        </w:rPr>
        <w:t>entrepreneurialism</w:t>
      </w:r>
      <w:r>
        <w:t xml:space="preserve"> [definition N/A]</w:t>
      </w:r>
    </w:p>
    <w:p w14:paraId="2F7346EE" w14:textId="77777777" w:rsidR="00076776" w:rsidRDefault="00000000">
      <w:r>
        <w:t xml:space="preserve">16: </w:t>
      </w:r>
      <w:r>
        <w:rPr>
          <w:b/>
        </w:rPr>
        <w:t>competitive urbanism</w:t>
      </w:r>
      <w:r>
        <w:t xml:space="preserve">: as in a civic form of entrepreneurialism. </w:t>
      </w:r>
    </w:p>
    <w:p w14:paraId="7474D1EE" w14:textId="77777777" w:rsidR="00076776" w:rsidRDefault="00000000">
      <w:r>
        <w:rPr>
          <w:highlight w:val="green"/>
        </w:rPr>
        <w:t>17</w:t>
      </w:r>
      <w:r>
        <w:t xml:space="preserve">: </w:t>
      </w:r>
      <w:r>
        <w:rPr>
          <w:b/>
        </w:rPr>
        <w:t xml:space="preserve">banal </w:t>
      </w:r>
      <w:proofErr w:type="spellStart"/>
      <w:r>
        <w:rPr>
          <w:b/>
        </w:rPr>
        <w:t>namescapes</w:t>
      </w:r>
      <w:proofErr w:type="spellEnd"/>
      <w:r>
        <w:rPr>
          <w:b/>
        </w:rPr>
        <w:t xml:space="preserve"> </w:t>
      </w:r>
      <w:r>
        <w:t xml:space="preserve">[@OAT]: “… names that raise little or no political response ….” </w:t>
      </w:r>
    </w:p>
    <w:p w14:paraId="40A67D83" w14:textId="77777777" w:rsidR="00076776" w:rsidRDefault="00000000">
      <w:r>
        <w:t xml:space="preserve">18: </w:t>
      </w:r>
      <w:r>
        <w:rPr>
          <w:b/>
        </w:rPr>
        <w:t>Speculative dispossession</w:t>
      </w:r>
      <w:r>
        <w:t xml:space="preserve">: “… some people are being dispossessed by the speculative [real estate] activities of the wealthy.” </w:t>
      </w:r>
    </w:p>
    <w:p w14:paraId="4E29F390" w14:textId="77777777" w:rsidR="00076776" w:rsidRDefault="00076776"/>
    <w:p w14:paraId="3A71C782" w14:textId="77777777" w:rsidR="00076776" w:rsidRDefault="00076776"/>
    <w:p w14:paraId="39FFAB28" w14:textId="77777777" w:rsidR="00076776" w:rsidRDefault="00000000">
      <w:pPr>
        <w:pStyle w:val="Heading2"/>
      </w:pPr>
      <w:r>
        <w:t>Core quotes</w:t>
      </w:r>
    </w:p>
    <w:p w14:paraId="2055EAB6" w14:textId="77777777" w:rsidR="00076776" w:rsidRDefault="00000000">
      <w:r>
        <w:t>15 @NeoLib@NeoCol@Polity@Capital@Arg</w:t>
      </w:r>
    </w:p>
    <w:p w14:paraId="1B19FF0B" w14:textId="77777777" w:rsidR="00076776" w:rsidRDefault="00000000">
      <w:pPr>
        <w:ind w:left="720"/>
      </w:pPr>
      <w:r>
        <w:t xml:space="preserve">I suggest that it is small urban centres exactly like Vernon that have had to shoulder the brunt of neoliberal social and economic re-regulation in Canada (also see Aguiar et al., 2005; Young and Matthews, 2007; Young, 2008). Accordingly, it is in these smaller cities that we should also focus our analytical lens when looking to better understand how “actually existing </w:t>
      </w:r>
      <w:proofErr w:type="spellStart"/>
      <w:r>
        <w:t>neoliberalisms</w:t>
      </w:r>
      <w:proofErr w:type="spellEnd"/>
      <w:r>
        <w:t xml:space="preserve">” operate (Peck and Tickell, 2002). Indeed, like most urban centres experiencing </w:t>
      </w:r>
      <w:r>
        <w:rPr>
          <w:b/>
        </w:rPr>
        <w:t xml:space="preserve">the creative destruction of </w:t>
      </w:r>
      <w:proofErr w:type="spellStart"/>
      <w:r>
        <w:rPr>
          <w:b/>
        </w:rPr>
        <w:t>neoliberalization</w:t>
      </w:r>
      <w:proofErr w:type="spellEnd"/>
      <w:r>
        <w:t xml:space="preserve"> under </w:t>
      </w:r>
      <w:r>
        <w:rPr>
          <w:b/>
        </w:rPr>
        <w:t>late capitalism</w:t>
      </w:r>
      <w:r>
        <w:t xml:space="preserve">, Vernon is a space of contradictions and crises, and these are perhaps magnified in importance because this small city has neither the reserves nor the resilience to adequately contest downloading of programs and services (and the attendant costs) </w:t>
      </w:r>
      <w:r>
        <w:lastRenderedPageBreak/>
        <w:t xml:space="preserve">associated with </w:t>
      </w:r>
      <w:proofErr w:type="spellStart"/>
      <w:r>
        <w:t>neoliberalization</w:t>
      </w:r>
      <w:proofErr w:type="spellEnd"/>
      <w:r>
        <w:t>. Accordingly, small cities like Vernon “are sites where the political and economic tensions of capitalism manifest in exceptionally vivid and observable forms” (Young and Matthews, 2007: 177).</w:t>
      </w:r>
    </w:p>
    <w:p w14:paraId="4F5A01F1" w14:textId="77777777" w:rsidR="00076776" w:rsidRDefault="00076776"/>
    <w:p w14:paraId="4B095630" w14:textId="77777777" w:rsidR="00076776" w:rsidRDefault="00000000">
      <w:r>
        <w:t>16-17 @Capital@Topo@Polity@Arg</w:t>
      </w:r>
    </w:p>
    <w:p w14:paraId="403C4EE5" w14:textId="77777777" w:rsidR="00076776" w:rsidRDefault="00000000">
      <w:pPr>
        <w:ind w:left="720"/>
      </w:pPr>
      <w:r>
        <w:t xml:space="preserve">I suggest that it is in the more </w:t>
      </w:r>
      <w:r>
        <w:rPr>
          <w:b/>
        </w:rPr>
        <w:t>recent naming and development of “recreational properties”</w:t>
      </w:r>
      <w:r>
        <w:t xml:space="preserve"> that we can identify ongoing contemporary </w:t>
      </w:r>
      <w:r>
        <w:rPr>
          <w:b/>
        </w:rPr>
        <w:t>links between the symbolic aspects of naming and the very material aspects of marginalization through capitalist accumulation by dispossession under neoliberalism.</w:t>
      </w:r>
      <w:r>
        <w:t xml:space="preserve"> Perhaps more importantly, I suggest that this occurs </w:t>
      </w:r>
      <w:r>
        <w:rPr>
          <w:b/>
          <w:i/>
        </w:rPr>
        <w:t xml:space="preserve">not </w:t>
      </w:r>
      <w:r>
        <w:rPr>
          <w:b/>
        </w:rPr>
        <w:t>by extraordinary forms of naming</w:t>
      </w:r>
      <w:r>
        <w:t xml:space="preserve"> (that then become hotly contested among citizens of the region), but </w:t>
      </w:r>
      <w:r>
        <w:rPr>
          <w:b/>
        </w:rPr>
        <w:t>rather through the adoption of much more banal and prosaic names</w:t>
      </w:r>
      <w:r>
        <w:t xml:space="preserve">…. </w:t>
      </w:r>
    </w:p>
    <w:p w14:paraId="64AB90C3" w14:textId="77777777" w:rsidR="00076776" w:rsidRDefault="00076776"/>
    <w:p w14:paraId="24DD866C" w14:textId="77777777" w:rsidR="00076776" w:rsidRDefault="00000000">
      <w:r>
        <w:t xml:space="preserve">17-18: examples of the banal names: </w:t>
      </w:r>
    </w:p>
    <w:p w14:paraId="617AA131" w14:textId="77777777" w:rsidR="00076776" w:rsidRDefault="00000000">
      <w:pPr>
        <w:ind w:left="720"/>
      </w:pPr>
      <w:r>
        <w:t xml:space="preserve">“Adventure Bay Resort,” “Desert Cove Estates,” “The Outback Resort,” “Predator Ridge Golf Resort… [developers] use either generic geographical features (cove, desert, mountain, outback, ridge, rise) or locally recognizable places (Adventure Bay, Okanagan) in their names. It would give too much credit to suggest that this is an explicit strategy on the part of developers. …. I suggest that </w:t>
      </w:r>
      <w:r>
        <w:rPr>
          <w:b/>
        </w:rPr>
        <w:t xml:space="preserve">the outcome of drawing upon local iconographies for names of developments is that these names pass relatively </w:t>
      </w:r>
      <w:proofErr w:type="gramStart"/>
      <w:r>
        <w:rPr>
          <w:b/>
        </w:rPr>
        <w:t>unremarked</w:t>
      </w:r>
      <w:r>
        <w:t>, and</w:t>
      </w:r>
      <w:proofErr w:type="gramEnd"/>
      <w:r>
        <w:t xml:space="preserve"> thus cause little in the way of controversy that might prevent capital accumulation.</w:t>
      </w:r>
    </w:p>
    <w:p w14:paraId="3886CB57" w14:textId="77777777" w:rsidR="00076776" w:rsidRDefault="00076776"/>
    <w:p w14:paraId="263389B8" w14:textId="77777777" w:rsidR="00076776" w:rsidRDefault="00000000">
      <w:r>
        <w:rPr>
          <w:highlight w:val="green"/>
        </w:rPr>
        <w:t>19</w:t>
      </w:r>
      <w:r>
        <w:t xml:space="preserve"> @</w:t>
      </w:r>
      <w:proofErr w:type="gramStart"/>
      <w:r>
        <w:t>L?@</w:t>
      </w:r>
      <w:proofErr w:type="gramEnd"/>
      <w:r>
        <w:t>Arg@NeoCol@Capital</w:t>
      </w:r>
    </w:p>
    <w:p w14:paraId="22372BC4" w14:textId="77777777" w:rsidR="00076776" w:rsidRDefault="00000000">
      <w:pPr>
        <w:ind w:left="720"/>
      </w:pPr>
      <w:r>
        <w:t xml:space="preserve">Whilst these properties occupy lands that are part of a general claim of Aboriginal Title by Syilx peoples, the Province of British Columbia has promised that it will not alienate existing “private property” as part of any land claim negotiations. </w:t>
      </w:r>
      <w:proofErr w:type="gramStart"/>
      <w:r>
        <w:t>Thus</w:t>
      </w:r>
      <w:proofErr w:type="gramEnd"/>
      <w:r>
        <w:t xml:space="preserve"> </w:t>
      </w:r>
      <w:r>
        <w:rPr>
          <w:b/>
        </w:rPr>
        <w:t>real estate developments like the seven in question here, which involve the partial creation of “private property,” literally cement dispossession in place</w:t>
      </w:r>
      <w:r>
        <w:t>.</w:t>
      </w:r>
    </w:p>
    <w:p w14:paraId="3996C277" w14:textId="77777777" w:rsidR="00076776" w:rsidRDefault="00000000">
      <w:r>
        <w:rPr>
          <w:highlight w:val="green"/>
        </w:rPr>
        <w:t>20</w:t>
      </w:r>
      <w:r>
        <w:t xml:space="preserve"> @SettPsych@</w:t>
      </w:r>
      <w:proofErr w:type="gramStart"/>
      <w:r>
        <w:t>L?@</w:t>
      </w:r>
      <w:proofErr w:type="gramEnd"/>
      <w:r>
        <w:t>Arg@NeoCol@Capital</w:t>
      </w:r>
    </w:p>
    <w:p w14:paraId="67AF14E9" w14:textId="77777777" w:rsidR="00076776" w:rsidRDefault="00000000">
      <w:pPr>
        <w:ind w:left="720"/>
      </w:pPr>
      <w:r>
        <w:t xml:space="preserve">Okanagan region with its relatively recent colonial history … the “long history” of white settlers and their place in the region, along with two concomitant silences: </w:t>
      </w:r>
      <w:r>
        <w:rPr>
          <w:b/>
        </w:rPr>
        <w:t xml:space="preserve">one silence elides the brutality of colonial settlement, especially the confiscation of land </w:t>
      </w:r>
      <w:r>
        <w:t>and subsequent placement of the first inhabitants of British Columbia on reserves (Harris, 2002</w:t>
      </w:r>
      <w:r>
        <w:rPr>
          <w:b/>
        </w:rPr>
        <w:t>); another silence hides the relative recentness of colonial settlement</w:t>
      </w:r>
      <w:r>
        <w:t xml:space="preserve">. In this way, white </w:t>
      </w:r>
      <w:proofErr w:type="spellStart"/>
      <w:r>
        <w:t>Vernonites</w:t>
      </w:r>
      <w:proofErr w:type="spellEnd"/>
      <w:r>
        <w:t xml:space="preserve"> construct a story of “European settlers as bearers of civilization, while simultaneously trapping Aboriginal people in the pre-modern” (Razack, 2002: 2), thus excluding them from participating in modern life (Berg et al., 2006: 400-401). In this way, </w:t>
      </w:r>
      <w:r>
        <w:rPr>
          <w:b/>
        </w:rPr>
        <w:t xml:space="preserve">whites </w:t>
      </w:r>
      <w:proofErr w:type="gramStart"/>
      <w:r>
        <w:rPr>
          <w:b/>
        </w:rPr>
        <w:t>are able to</w:t>
      </w:r>
      <w:proofErr w:type="gramEnd"/>
      <w:r>
        <w:rPr>
          <w:b/>
        </w:rPr>
        <w:t xml:space="preserve"> safely ignore Aboriginal people, and banal names lend a sense of the everyday to processes that reinforce the effacement of this dispossession</w:t>
      </w:r>
      <w:r>
        <w:t xml:space="preserve"> and marginalization of Aboriginal people.</w:t>
      </w:r>
    </w:p>
    <w:p w14:paraId="42C22C00" w14:textId="77777777" w:rsidR="00076776" w:rsidRDefault="00076776"/>
    <w:p w14:paraId="2E1ED16B" w14:textId="77777777" w:rsidR="00076776" w:rsidRDefault="00076776"/>
    <w:p w14:paraId="6F54D268" w14:textId="77777777" w:rsidR="00076776" w:rsidRDefault="00000000">
      <w:pPr>
        <w:pStyle w:val="Heading2"/>
      </w:pPr>
      <w:r>
        <w:t>Secondary quotes</w:t>
      </w:r>
    </w:p>
    <w:p w14:paraId="2418C623" w14:textId="77777777" w:rsidR="00076776" w:rsidRDefault="00000000">
      <w:r>
        <w:t xml:space="preserve">14 Dateline: Vernon, BC, as the “case study”, followed by a bit about Vernon. / “Syilx (also known as the “Okanagan”) peoples” … / 16 Vernon shifts from resource to tourism real estate. / </w:t>
      </w:r>
      <w:r>
        <w:lastRenderedPageBreak/>
        <w:t xml:space="preserve">17 “Since 1995 there have been at least seven major “resort community” developments in the city or on the outskirts of Vernon: “Adventure Bay Resort …” / 18 Examples of real estate “priced completely out of range for Vernon’s residents” / 19 “The banal names of these developments, which are designed to evoke images of the local landscape, operate partly to efface these neoliberal social relations behind images of </w:t>
      </w:r>
      <w:r>
        <w:rPr>
          <w:b/>
        </w:rPr>
        <w:t>rural idylls and “outdoor lifestyles.”</w:t>
      </w:r>
      <w:r>
        <w:t xml:space="preserve"> In doing so, they become </w:t>
      </w:r>
      <w:r>
        <w:rPr>
          <w:b/>
        </w:rPr>
        <w:t xml:space="preserve">fetishes that hide the neoliberal social relations </w:t>
      </w:r>
      <w:r>
        <w:t xml:space="preserve">that underpin the dispossession of many long-time residents of Vernon.” / “With the exception of 14 small “Douglas Treaties” on Vancouver Island and Treaty Number 8 in Northeast British Columbia, no treaties were negotiated, and no laws were passed to explicitly extinguish Aboriginal title. In 1982, the </w:t>
      </w:r>
      <w:r>
        <w:rPr>
          <w:i/>
        </w:rPr>
        <w:t xml:space="preserve">Constitution Act </w:t>
      </w:r>
      <w:r>
        <w:t xml:space="preserve">(1982) enshrined Aboriginal rights, including Aboriginal title, virtually preventing provincial or federal governments from extinguishing such rights. Subsequently, Aboriginal title and rights were confirmed in the landmark Supreme Court of Canada case: </w:t>
      </w:r>
      <w:r>
        <w:rPr>
          <w:b/>
          <w:i/>
        </w:rPr>
        <w:t>Delgamuukw v. British Columbia</w:t>
      </w:r>
      <w:r>
        <w:rPr>
          <w:i/>
        </w:rPr>
        <w:t xml:space="preserve"> </w:t>
      </w:r>
      <w:r>
        <w:t xml:space="preserve">(1997 3 S.C.R. 1010).” / 21 Last sentence: “In the end, </w:t>
      </w:r>
      <w:r>
        <w:rPr>
          <w:b/>
        </w:rPr>
        <w:t>banality conquers all</w:t>
      </w:r>
      <w:r>
        <w:t xml:space="preserve">, as these processes of dispossession are never remarked upon — often even by the very people being dispossessed.” / </w:t>
      </w:r>
    </w:p>
    <w:p w14:paraId="6575E4D6" w14:textId="77777777" w:rsidR="00076776" w:rsidRDefault="00076776"/>
    <w:p w14:paraId="76D8C174" w14:textId="77777777" w:rsidR="00076776" w:rsidRDefault="00000000">
      <w:pPr>
        <w:pStyle w:val="Heading1"/>
      </w:pPr>
      <w:bookmarkStart w:id="36" w:name="_heading=h.32hioqz" w:colFirst="0" w:colLast="0"/>
      <w:bookmarkEnd w:id="36"/>
      <w:r>
        <w:t>(2011) Rose-Redwood, “Rethinking the Agenda of Political Toponymy”</w:t>
      </w:r>
    </w:p>
    <w:p w14:paraId="74826591" w14:textId="77777777" w:rsidR="00076776" w:rsidRDefault="00076776"/>
    <w:p w14:paraId="497F5134" w14:textId="77777777" w:rsidR="00076776" w:rsidRDefault="00000000">
      <w:pPr>
        <w:pStyle w:val="Heading2"/>
      </w:pPr>
      <w:r>
        <w:t>Abstract</w:t>
      </w:r>
    </w:p>
    <w:p w14:paraId="345B1687" w14:textId="77777777" w:rsidR="00076776" w:rsidRDefault="00000000">
      <w:r>
        <w:t xml:space="preserve">Discusses the growing political agenda in geospatial scholarship and its avoidances in “many thematic areas that remain undertheorized in the ‘new’ political toponymies.” </w:t>
      </w:r>
    </w:p>
    <w:p w14:paraId="257BFC55" w14:textId="77777777" w:rsidR="00076776" w:rsidRDefault="00076776"/>
    <w:p w14:paraId="208C00B4" w14:textId="77777777" w:rsidR="00076776" w:rsidRDefault="00000000">
      <w:pPr>
        <w:pStyle w:val="Heading2"/>
      </w:pPr>
      <w:r>
        <w:t>Key words</w:t>
      </w:r>
    </w:p>
    <w:p w14:paraId="3603B93B" w14:textId="77777777" w:rsidR="00076776" w:rsidRDefault="00000000">
      <w:r>
        <w:t xml:space="preserve">Salish Sea, toponyms, Indigenous presence, capitalism, toponymic rescaling, banal naming, </w:t>
      </w:r>
    </w:p>
    <w:p w14:paraId="47E5DCFB" w14:textId="77777777" w:rsidR="00076776" w:rsidRDefault="00076776"/>
    <w:p w14:paraId="585B6D23" w14:textId="77777777" w:rsidR="00076776" w:rsidRDefault="00000000">
      <w:pPr>
        <w:pStyle w:val="Heading2"/>
      </w:pPr>
      <w:r>
        <w:t>Essential quote</w:t>
      </w:r>
    </w:p>
    <w:p w14:paraId="4676BD64" w14:textId="77777777" w:rsidR="00076776" w:rsidRDefault="00000000">
      <w:pPr>
        <w:rPr>
          <w:rFonts w:ascii="Times" w:eastAsia="Times" w:hAnsi="Times" w:cs="Times"/>
          <w:color w:val="000000"/>
        </w:rPr>
      </w:pPr>
      <w:r>
        <w:rPr>
          <w:rFonts w:ascii="Times" w:eastAsia="Times" w:hAnsi="Times" w:cs="Times"/>
          <w:color w:val="000000"/>
        </w:rPr>
        <w:t>39: Is the “Salish Sea,” then, merely an Anglophone toponym dressed up in indigenous garb or is it a legitimate “acknowledgement of presence” of indigenous peoples in the Pacific Northwest?</w:t>
      </w:r>
    </w:p>
    <w:p w14:paraId="544C91D3" w14:textId="77777777" w:rsidR="00076776" w:rsidRDefault="00076776"/>
    <w:p w14:paraId="18832618" w14:textId="77777777" w:rsidR="00076776" w:rsidRDefault="00000000">
      <w:pPr>
        <w:pStyle w:val="Heading2"/>
      </w:pPr>
      <w:r>
        <w:t>Terms</w:t>
      </w:r>
    </w:p>
    <w:p w14:paraId="7A592368" w14:textId="77777777" w:rsidR="00076776" w:rsidRDefault="00000000">
      <w:r>
        <w:t xml:space="preserve">35: </w:t>
      </w:r>
      <w:r>
        <w:rPr>
          <w:b/>
        </w:rPr>
        <w:t xml:space="preserve">public </w:t>
      </w:r>
      <w:proofErr w:type="spellStart"/>
      <w:r>
        <w:rPr>
          <w:b/>
        </w:rPr>
        <w:t>namescape</w:t>
      </w:r>
      <w:proofErr w:type="spellEnd"/>
    </w:p>
    <w:p w14:paraId="48B051EE" w14:textId="77777777" w:rsidR="00076776" w:rsidRDefault="00000000">
      <w:r>
        <w:rPr>
          <w:highlight w:val="green"/>
        </w:rPr>
        <w:t>37</w:t>
      </w:r>
      <w:r>
        <w:t xml:space="preserve">: </w:t>
      </w:r>
      <w:r>
        <w:rPr>
          <w:b/>
        </w:rPr>
        <w:t>toponymic rescaling</w:t>
      </w:r>
      <w:r>
        <w:t xml:space="preserve">: the process through which “a new conceptual “object” is currently in the process of being constructed through a spatial practice,” as in the example of the “consolidating” of the waterways done to create the new “object” of the Salish Sea, “a normative strategy for reframing the spatial identities of places” (38). </w:t>
      </w:r>
    </w:p>
    <w:p w14:paraId="2F43E8C2" w14:textId="77777777" w:rsidR="00076776" w:rsidRDefault="00000000">
      <w:r>
        <w:t xml:space="preserve">38: </w:t>
      </w:r>
      <w:r>
        <w:rPr>
          <w:b/>
        </w:rPr>
        <w:t>apolitical toponymies</w:t>
      </w:r>
      <w:r>
        <w:t>: “</w:t>
      </w:r>
      <w:r>
        <w:rPr>
          <w:b/>
        </w:rPr>
        <w:t>Banal naming practices</w:t>
      </w:r>
      <w:r>
        <w:t xml:space="preserve"> can, of course, be </w:t>
      </w:r>
      <w:proofErr w:type="spellStart"/>
      <w:r>
        <w:t>repoliticized</w:t>
      </w:r>
      <w:proofErr w:type="spellEnd"/>
      <w:r>
        <w:t xml:space="preserve"> to challenge the “apolitical toponymies” constructed as spaces of immersive commercialism or the symbolically sanitized heritage destinations ….” </w:t>
      </w:r>
    </w:p>
    <w:p w14:paraId="5B453763" w14:textId="77777777" w:rsidR="00076776" w:rsidRDefault="00076776"/>
    <w:p w14:paraId="096AB3CD" w14:textId="77777777" w:rsidR="00076776" w:rsidRDefault="00000000">
      <w:pPr>
        <w:pStyle w:val="Heading2"/>
      </w:pPr>
      <w:r>
        <w:lastRenderedPageBreak/>
        <w:t>Core quotes</w:t>
      </w:r>
    </w:p>
    <w:p w14:paraId="5D8062FD" w14:textId="77777777" w:rsidR="00076776" w:rsidRDefault="00000000">
      <w:r>
        <w:t>36 @Topo@Capital@Gov@CogImp</w:t>
      </w:r>
    </w:p>
    <w:p w14:paraId="2162617F" w14:textId="77777777" w:rsidR="00076776" w:rsidRDefault="00000000">
      <w:pPr>
        <w:ind w:left="720"/>
      </w:pPr>
      <w:r>
        <w:t xml:space="preserve">By turning public places into branded “destinations,” such public-private partnerships serve to legitimate corporate power and have the potential to reconfigure toponymic systems in cities around the world into new “spaces of capital” (Harvey, 2001). </w:t>
      </w:r>
    </w:p>
    <w:p w14:paraId="564319F4" w14:textId="77777777" w:rsidR="00076776" w:rsidRDefault="00076776"/>
    <w:p w14:paraId="67479728" w14:textId="77777777" w:rsidR="00076776" w:rsidRDefault="00000000">
      <w:r>
        <w:t>@Polity@NeoCol@Ident@Hegem</w:t>
      </w:r>
    </w:p>
    <w:p w14:paraId="407EBA7D" w14:textId="77777777" w:rsidR="00076776" w:rsidRDefault="00000000">
      <w:pPr>
        <w:ind w:left="720"/>
      </w:pPr>
      <w:r>
        <w:t xml:space="preserve">My next case study shifts the focus from land to sea and draws connections between the role of naming in the political construction of scale and the cultural struggles over linguistic hegemony along the Pacific Northwest coast of North America. </w:t>
      </w:r>
    </w:p>
    <w:p w14:paraId="58C528E5" w14:textId="77777777" w:rsidR="00076776" w:rsidRDefault="00076776"/>
    <w:p w14:paraId="1EBED114" w14:textId="77777777" w:rsidR="00076776" w:rsidRDefault="00000000">
      <w:r>
        <w:t>@Topo@Hist@Eco@Border</w:t>
      </w:r>
    </w:p>
    <w:p w14:paraId="1967B7B9" w14:textId="77777777" w:rsidR="00076776" w:rsidRDefault="00000000">
      <w:pPr>
        <w:ind w:left="720"/>
        <w:rPr>
          <w:rFonts w:ascii="Times" w:eastAsia="Times" w:hAnsi="Times" w:cs="Times"/>
          <w:color w:val="000000"/>
        </w:rPr>
      </w:pPr>
      <w:r>
        <w:t>“Salish Sea,” … new toponym was proposed by Bert Webber, … a means of raising awareness of the ecological interrelations within the marine environment along the coastal border zone between the United States and Canada.</w:t>
      </w:r>
    </w:p>
    <w:p w14:paraId="3AFFE450" w14:textId="77777777" w:rsidR="00076776" w:rsidRDefault="00076776"/>
    <w:p w14:paraId="05E69C12" w14:textId="77777777" w:rsidR="00076776" w:rsidRDefault="00000000">
      <w:r>
        <w:rPr>
          <w:highlight w:val="green"/>
        </w:rPr>
        <w:t>36-37</w:t>
      </w:r>
      <w:r>
        <w:t xml:space="preserve"> @Topo@Hegem@NeoCol@CogImp</w:t>
      </w:r>
    </w:p>
    <w:p w14:paraId="7AFE0B31" w14:textId="77777777" w:rsidR="00076776" w:rsidRDefault="00000000">
      <w:pPr>
        <w:ind w:left="720"/>
      </w:pPr>
      <w:r>
        <w:t xml:space="preserve">By consolidating these waterways [Salish Sea] in toponymic terms, a new conceptual “object” is currently in the process of being constructed through a spatial practice that might be referred to as toponymic rescaling. The act of toponymic rescaling is not definitively achieved, once and for all, by official government declarations alone but should rather be seen as a performative enactment of place-identity (Rose-Redwood, 2008). </w:t>
      </w:r>
    </w:p>
    <w:p w14:paraId="7F0060E4" w14:textId="77777777" w:rsidR="00076776" w:rsidRDefault="00076776">
      <w:pPr>
        <w:ind w:left="720"/>
      </w:pPr>
    </w:p>
    <w:p w14:paraId="4C92020A" w14:textId="77777777" w:rsidR="00076776" w:rsidRDefault="00000000">
      <w:r>
        <w:t>38 @ISr@Arg@Topo@Hegem@NeoCol@Ling</w:t>
      </w:r>
    </w:p>
    <w:p w14:paraId="1865132D" w14:textId="77777777" w:rsidR="00076776" w:rsidRDefault="00000000">
      <w:pPr>
        <w:ind w:left="720"/>
      </w:pPr>
      <w:r>
        <w:t xml:space="preserve">… the performative enactment of </w:t>
      </w:r>
      <w:r>
        <w:rPr>
          <w:b/>
        </w:rPr>
        <w:t>toponymic rescaling</w:t>
      </w:r>
      <w:r>
        <w:t xml:space="preserve"> is </w:t>
      </w:r>
      <w:r>
        <w:rPr>
          <w:b/>
        </w:rPr>
        <w:t>a normative strategy for reframing the spatial identities of places</w:t>
      </w:r>
      <w:r>
        <w:t>, which has a considerably bearing on what is deemed to be worthy of public attention. / The case of the Salish Sea also offers insights into the contested politics of linguistic hegemony, place naming, and the struggle for indigenous rights.</w:t>
      </w:r>
    </w:p>
    <w:p w14:paraId="789D5B25" w14:textId="77777777" w:rsidR="00076776" w:rsidRDefault="00076776"/>
    <w:p w14:paraId="47BE8451" w14:textId="77777777" w:rsidR="00076776" w:rsidRDefault="00000000">
      <w:r>
        <w:t>@Erase@ISr@Topo@SettPsych@NeoCol@Capital</w:t>
      </w:r>
    </w:p>
    <w:p w14:paraId="72E6E439" w14:textId="77777777" w:rsidR="00076776" w:rsidRDefault="00000000">
      <w:pPr>
        <w:ind w:left="720"/>
      </w:pPr>
      <w:r>
        <w:t xml:space="preserve">…the proponents of the “Salish Sea” name change anticipated such criticisms with their decision not to “erase” the existing European toponyms; instead, the new name will simply be “overlaid” upon the existing toponymic landscape </w:t>
      </w:r>
      <w:proofErr w:type="gramStart"/>
      <w:r>
        <w:t>in an attempt to</w:t>
      </w:r>
      <w:proofErr w:type="gramEnd"/>
      <w:r>
        <w:t xml:space="preserve"> discursively unify the different water bodies into a new overarching geographical “entity.” … The Dubai Metro naming rights initiative highlights the need to rethink toponymic inscription not solely as a “cultural” phenomenon but also as an integral strategy of entrenching neoliberal corporatism within the banal materialities of public space.</w:t>
      </w:r>
    </w:p>
    <w:p w14:paraId="1ECE65E1" w14:textId="77777777" w:rsidR="00076776" w:rsidRDefault="00076776"/>
    <w:p w14:paraId="6F273649" w14:textId="77777777" w:rsidR="00076776" w:rsidRDefault="00000000">
      <w:r>
        <w:t>@Arg@Capital@Topo</w:t>
      </w:r>
    </w:p>
    <w:p w14:paraId="4E5A8EA5" w14:textId="77777777" w:rsidR="00076776" w:rsidRDefault="00000000">
      <w:pPr>
        <w:ind w:left="720"/>
      </w:pPr>
      <w:r>
        <w:t>…</w:t>
      </w:r>
      <w:proofErr w:type="spellStart"/>
      <w:r>
        <w:t>namescape</w:t>
      </w:r>
      <w:proofErr w:type="spellEnd"/>
      <w:r>
        <w:t xml:space="preserve"> as a “commodity,” it is imperative that critical place-name scholars call attention to the </w:t>
      </w:r>
      <w:r>
        <w:rPr>
          <w:b/>
          <w:i/>
        </w:rPr>
        <w:t xml:space="preserve">political economy </w:t>
      </w:r>
      <w:r>
        <w:rPr>
          <w:b/>
        </w:rPr>
        <w:t>of toponymic practices</w:t>
      </w:r>
      <w:r>
        <w:t>.</w:t>
      </w:r>
    </w:p>
    <w:p w14:paraId="031F4103" w14:textId="77777777" w:rsidR="00076776" w:rsidRDefault="00076776"/>
    <w:p w14:paraId="610DC73C" w14:textId="77777777" w:rsidR="00076776" w:rsidRDefault="00000000">
      <w:r>
        <w:t>@Capital@NeoCol@Topo@NeoLib</w:t>
      </w:r>
    </w:p>
    <w:p w14:paraId="68A13D03" w14:textId="77777777" w:rsidR="00076776" w:rsidRDefault="00000000">
      <w:pPr>
        <w:ind w:left="720"/>
      </w:pPr>
      <w:r>
        <w:lastRenderedPageBreak/>
        <w:t xml:space="preserve">To the extent that the naming of public infrastructure is taken out of the political arena and viewed primarily in economic terms, this is a clear attempt to produce what Lawrence </w:t>
      </w:r>
      <w:r>
        <w:rPr>
          <w:highlight w:val="magenta"/>
        </w:rPr>
        <w:t>Berg</w:t>
      </w:r>
      <w:r>
        <w:t xml:space="preserve"> calls a toponymic landscape of “legitimacy-without-controversy” (this issue). Yet, it remains to be seen whether it is truly the case that, in the last instance, “</w:t>
      </w:r>
      <w:r>
        <w:rPr>
          <w:b/>
        </w:rPr>
        <w:t>banality conquers all</w:t>
      </w:r>
      <w:r>
        <w:t>,” as Berg rather pessimistically suggests.</w:t>
      </w:r>
    </w:p>
    <w:p w14:paraId="0CAE825F" w14:textId="77777777" w:rsidR="00076776" w:rsidRDefault="00076776"/>
    <w:p w14:paraId="1DCC27AB" w14:textId="77777777" w:rsidR="00076776" w:rsidRDefault="00000000">
      <w:r>
        <w:t xml:space="preserve">@Todo: explore this idea of “banality” in toponymy as a cloak for what is likely a classic neoliberal move. What does Berg consider a “banal” name for a place, and where do numbers fit into this observation? </w:t>
      </w:r>
    </w:p>
    <w:p w14:paraId="3C1A8497" w14:textId="77777777" w:rsidR="00076776" w:rsidRDefault="00076776"/>
    <w:p w14:paraId="605D7AE8" w14:textId="77777777" w:rsidR="00076776" w:rsidRDefault="00000000">
      <w:r>
        <w:t>39 @Border@Topo</w:t>
      </w:r>
    </w:p>
    <w:p w14:paraId="7D40FF41" w14:textId="77777777" w:rsidR="00076776" w:rsidRDefault="00000000">
      <w:pPr>
        <w:ind w:left="720"/>
      </w:pPr>
      <w:r>
        <w:t>…officially designating the waters of the Pacific Northwest of North America as the “Salish Sea” is an attempt to use toponymy in order to construct a new scalar “object” that conceptually unites what had formerly been perceived as three disparate water bodies, which may potentially have future implications for environmental governance and management along the U.S./Canada border.</w:t>
      </w:r>
    </w:p>
    <w:p w14:paraId="418D4CCF" w14:textId="77777777" w:rsidR="00076776" w:rsidRDefault="00076776"/>
    <w:p w14:paraId="64C88620" w14:textId="77777777" w:rsidR="00076776" w:rsidRDefault="00000000">
      <w:r>
        <w:rPr>
          <w:highlight w:val="green"/>
        </w:rPr>
        <w:t>@Motherlode</w:t>
      </w:r>
      <w:r>
        <w:t>@Topo@Ling@Paradox@ISr@WIAM@Border</w:t>
      </w:r>
    </w:p>
    <w:p w14:paraId="7BCE6D29" w14:textId="77777777" w:rsidR="00076776" w:rsidRDefault="00000000">
      <w:pPr>
        <w:ind w:left="720"/>
      </w:pPr>
      <w:r>
        <w:rPr>
          <w:rFonts w:ascii="Times" w:eastAsia="Times" w:hAnsi="Times" w:cs="Times"/>
          <w:color w:val="000000"/>
        </w:rPr>
        <w:t xml:space="preserve">The “Salish Sea” moniker is even more linguistically and culturally complex, with “Salish” being a European construction to classify an indigenous language group, which has subsequently been adopted as a marker of self-identity by various First Nations peoples. </w:t>
      </w:r>
      <w:r>
        <w:rPr>
          <w:rFonts w:ascii="Times" w:eastAsia="Times" w:hAnsi="Times" w:cs="Times"/>
          <w:b/>
          <w:color w:val="000000"/>
        </w:rPr>
        <w:t xml:space="preserve">Is the “Salish Sea,” then, merely an Anglophone toponym dressed up in indigenous garb or is it a legitimate “acknowledgement of presence” of indigenous peoples in the Pacific Northwest? </w:t>
      </w:r>
      <w:r>
        <w:rPr>
          <w:rFonts w:ascii="Times" w:eastAsia="Times" w:hAnsi="Times" w:cs="Times"/>
          <w:color w:val="000000"/>
        </w:rPr>
        <w:t>Some have argued that the Salish Sea designation is merely a case of U.S. cultural imperialism, suggesting that “[</w:t>
      </w:r>
      <w:proofErr w:type="spellStart"/>
      <w:r>
        <w:rPr>
          <w:rFonts w:ascii="Times" w:eastAsia="Times" w:hAnsi="Times" w:cs="Times"/>
          <w:color w:val="000000"/>
        </w:rPr>
        <w:t>i</w:t>
      </w:r>
      <w:proofErr w:type="spellEnd"/>
      <w:r>
        <w:rPr>
          <w:rFonts w:ascii="Times" w:eastAsia="Times" w:hAnsi="Times" w:cs="Times"/>
          <w:color w:val="000000"/>
        </w:rPr>
        <w:t>]t’s just another one of the American efforts to erase the border.</w:t>
      </w:r>
      <w:r>
        <w:rPr>
          <w:rFonts w:ascii="Times" w:eastAsia="Times" w:hAnsi="Times" w:cs="Times"/>
          <w:b/>
          <w:color w:val="000000"/>
        </w:rPr>
        <w:t xml:space="preserve"> </w:t>
      </w:r>
    </w:p>
    <w:p w14:paraId="393EC18B" w14:textId="77777777" w:rsidR="00076776" w:rsidRDefault="00076776">
      <w:pPr>
        <w:rPr>
          <w:rFonts w:ascii="Times" w:eastAsia="Times" w:hAnsi="Times" w:cs="Times"/>
          <w:b/>
          <w:color w:val="000000"/>
        </w:rPr>
      </w:pPr>
    </w:p>
    <w:p w14:paraId="3793D0E1" w14:textId="77777777" w:rsidR="00076776" w:rsidRDefault="00000000">
      <w:r>
        <w:rPr>
          <w:highlight w:val="green"/>
        </w:rPr>
        <w:t>40</w:t>
      </w:r>
      <w:r>
        <w:t xml:space="preserve"> @Arg@Polity@Topo@SpacePlace@Acad</w:t>
      </w:r>
    </w:p>
    <w:p w14:paraId="3CC12A58" w14:textId="77777777" w:rsidR="00076776" w:rsidRDefault="00000000">
      <w:pPr>
        <w:ind w:left="720"/>
      </w:pPr>
      <w:r>
        <w:t xml:space="preserve">The recent attention devoted to </w:t>
      </w:r>
      <w:r>
        <w:rPr>
          <w:b/>
        </w:rPr>
        <w:t>the “political” in toponymic scholarship</w:t>
      </w:r>
      <w:r>
        <w:t xml:space="preserve"> has less to do with attempting to decipher the singular political meaning of a spatial text than it does with examining how the </w:t>
      </w:r>
      <w:r>
        <w:rPr>
          <w:b/>
        </w:rPr>
        <w:t>performative imposition of toponymic “order”</w:t>
      </w:r>
      <w:r>
        <w:t xml:space="preserve"> </w:t>
      </w:r>
      <w:r>
        <w:rPr>
          <w:b/>
        </w:rPr>
        <w:t>is itself a contested process</w:t>
      </w:r>
      <w:r>
        <w:t xml:space="preserve">. In other words, critical toponymies have sought to challenge the functionalism that underlies attempts to construct “official” toponymic systems, which are often portrayed as being beyond politics because their primary “function” is to provide a means of spatial orientation. </w:t>
      </w:r>
      <w:r>
        <w:rPr>
          <w:b/>
        </w:rPr>
        <w:t xml:space="preserve">It is precisely in response to this depoliticization of place- naming practices that critical place-name scholars seek to </w:t>
      </w:r>
      <w:proofErr w:type="spellStart"/>
      <w:r>
        <w:rPr>
          <w:b/>
          <w:highlight w:val="green"/>
        </w:rPr>
        <w:t>repoliticize</w:t>
      </w:r>
      <w:proofErr w:type="spellEnd"/>
      <w:r>
        <w:rPr>
          <w:b/>
          <w:highlight w:val="green"/>
        </w:rPr>
        <w:t xml:space="preserve"> the toponymic landscape </w:t>
      </w:r>
      <w:r>
        <w:rPr>
          <w:highlight w:val="green"/>
        </w:rPr>
        <w:t>by emphasizing the socio-spatial struggles over the toponymic production of place</w:t>
      </w:r>
      <w:r>
        <w:t>.</w:t>
      </w:r>
    </w:p>
    <w:p w14:paraId="59824D4E" w14:textId="77777777" w:rsidR="00076776" w:rsidRDefault="00076776"/>
    <w:p w14:paraId="76DC9348" w14:textId="77777777" w:rsidR="00076776" w:rsidRDefault="00076776"/>
    <w:p w14:paraId="070B2B38" w14:textId="77777777" w:rsidR="00076776" w:rsidRDefault="00000000">
      <w:pPr>
        <w:pStyle w:val="Heading2"/>
      </w:pPr>
      <w:r>
        <w:t>Secondary quotes</w:t>
      </w:r>
    </w:p>
    <w:p w14:paraId="5285B2C6" w14:textId="77777777" w:rsidR="00076776" w:rsidRDefault="00000000">
      <w:r>
        <w:t xml:space="preserve">34 corporate “branding” of “the pending corporate ‘take-over’ of the public </w:t>
      </w:r>
      <w:proofErr w:type="spellStart"/>
      <w:r>
        <w:t>namescape</w:t>
      </w:r>
      <w:proofErr w:type="spellEnd"/>
      <w:r>
        <w:t>” / 35 “</w:t>
      </w:r>
      <w:r>
        <w:rPr>
          <w:rFonts w:ascii="Times" w:eastAsia="Times" w:hAnsi="Times" w:cs="Times"/>
          <w:color w:val="000000"/>
        </w:rPr>
        <w:t xml:space="preserve">converting a city’s public spaces into a medium for corporate marketing” / 36 </w:t>
      </w:r>
      <w:r>
        <w:t xml:space="preserve">European explorers such as Charles Barkley and George Vancouver / 38 “Salish” is itself a European construct, devised by anthropologists as part of their classification of indigenous languages, / Chief Gibby Jacob, the “Salish Sea” designation has gained enthusiastic support among the </w:t>
      </w:r>
      <w:r>
        <w:lastRenderedPageBreak/>
        <w:t>Coast Salish First Nations, since the new toponym signifies a symbolic “acknowledgement of presence” (as quoted in Alcoba, 2009).</w:t>
      </w:r>
      <w:r>
        <w:rPr>
          <w:rFonts w:ascii="Times" w:eastAsia="Times" w:hAnsi="Times" w:cs="Times"/>
          <w:color w:val="000000"/>
        </w:rPr>
        <w:t xml:space="preserve"> The name has been vigorously contested, however, by those who view the change as a direct challenge to the British “legacy” in the region. For instance, one member of the Monarchist League of Canada, Keith Roy,</w:t>
      </w:r>
      <w:r>
        <w:t xml:space="preserve"> / 39 Call for criticality on toponyms: “</w:t>
      </w:r>
      <w:r>
        <w:rPr>
          <w:rFonts w:ascii="Times" w:eastAsia="Times" w:hAnsi="Times" w:cs="Times"/>
          <w:color w:val="000000"/>
        </w:rPr>
        <w:t xml:space="preserve">It is precisely such sweeping generalizations and off-the-cuff reductionist explanations that often dominate public debates over place naming, which is all the more reason to call for a renewed agenda to </w:t>
      </w:r>
      <w:r>
        <w:rPr>
          <w:rFonts w:ascii="Times" w:eastAsia="Times" w:hAnsi="Times" w:cs="Times"/>
          <w:i/>
          <w:color w:val="000000"/>
        </w:rPr>
        <w:t xml:space="preserve">critically </w:t>
      </w:r>
      <w:r>
        <w:rPr>
          <w:rFonts w:ascii="Times" w:eastAsia="Times" w:hAnsi="Times" w:cs="Times"/>
          <w:color w:val="000000"/>
        </w:rPr>
        <w:t xml:space="preserve">analyze the spatial politics of toponymic practices.” / </w:t>
      </w:r>
      <w:r>
        <w:rPr>
          <w:rFonts w:ascii="Times" w:eastAsia="Times" w:hAnsi="Times" w:cs="Times"/>
          <w:b/>
          <w:color w:val="000000"/>
        </w:rPr>
        <w:t>39-40</w:t>
      </w:r>
      <w:r>
        <w:rPr>
          <w:rFonts w:ascii="Times" w:eastAsia="Times" w:hAnsi="Times" w:cs="Times"/>
          <w:color w:val="000000"/>
        </w:rPr>
        <w:t xml:space="preserve"> “</w:t>
      </w:r>
      <w:proofErr w:type="spellStart"/>
      <w:r>
        <w:rPr>
          <w:rFonts w:ascii="Times" w:eastAsia="Times" w:hAnsi="Times" w:cs="Times"/>
          <w:color w:val="000000"/>
        </w:rPr>
        <w:t>Azaryahu</w:t>
      </w:r>
      <w:proofErr w:type="spellEnd"/>
      <w:r>
        <w:rPr>
          <w:rFonts w:ascii="Times" w:eastAsia="Times" w:hAnsi="Times" w:cs="Times"/>
          <w:color w:val="000000"/>
        </w:rPr>
        <w:t xml:space="preserve"> (this issue) provocatively insists that such “critical” approaches to place-name studies are merely a new form of political functionalism. He contends that the recent focus on toponymic politics has itself taken a reductionist turn and runs the risk of becoming too predictable and, hence, rather “uncritical” of its own theoretical assumptions. Consequently, </w:t>
      </w:r>
      <w:proofErr w:type="spellStart"/>
      <w:r>
        <w:rPr>
          <w:rFonts w:ascii="Times" w:eastAsia="Times" w:hAnsi="Times" w:cs="Times"/>
          <w:color w:val="000000"/>
          <w:highlight w:val="magenta"/>
        </w:rPr>
        <w:t>Azaryahu</w:t>
      </w:r>
      <w:proofErr w:type="spellEnd"/>
      <w:r>
        <w:rPr>
          <w:rFonts w:ascii="Times" w:eastAsia="Times" w:hAnsi="Times" w:cs="Times"/>
          <w:color w:val="000000"/>
        </w:rPr>
        <w:t xml:space="preserve"> seeks to move beyond the “critical turn” in place-name studies by placing greater emphasis on the </w:t>
      </w:r>
      <w:r>
        <w:rPr>
          <w:rFonts w:ascii="Times" w:eastAsia="Times" w:hAnsi="Times" w:cs="Times"/>
          <w:b/>
          <w:i/>
          <w:color w:val="000000"/>
        </w:rPr>
        <w:t xml:space="preserve">communicative meanings </w:t>
      </w:r>
      <w:r>
        <w:rPr>
          <w:rFonts w:ascii="Times" w:eastAsia="Times" w:hAnsi="Times" w:cs="Times"/>
          <w:b/>
          <w:color w:val="000000"/>
        </w:rPr>
        <w:t>of toponymic inscriptions</w:t>
      </w:r>
      <w:r>
        <w:rPr>
          <w:rFonts w:ascii="Times" w:eastAsia="Times" w:hAnsi="Times" w:cs="Times"/>
          <w:color w:val="000000"/>
        </w:rPr>
        <w:t xml:space="preserve">. I must confess that I am not entirely convinced that a “communicative turn” in critical toponymy necessarily offers the theoretical toolkit needed to address and </w:t>
      </w:r>
      <w:r>
        <w:rPr>
          <w:rFonts w:ascii="Times" w:eastAsia="Times" w:hAnsi="Times" w:cs="Times"/>
          <w:i/>
          <w:color w:val="000000"/>
        </w:rPr>
        <w:t xml:space="preserve">critique </w:t>
      </w:r>
      <w:r>
        <w:rPr>
          <w:rFonts w:ascii="Times" w:eastAsia="Times" w:hAnsi="Times" w:cs="Times"/>
          <w:color w:val="000000"/>
        </w:rPr>
        <w:t>contemporary toponymic practices, particularly the commodification of place-naming rights. Nor am I convinced that critical toponymic studies can so easily be characterized as a return to reductionism.</w:t>
      </w:r>
    </w:p>
    <w:p w14:paraId="6E282EF1" w14:textId="77777777" w:rsidR="00076776" w:rsidRDefault="00076776"/>
    <w:p w14:paraId="169DCBAA" w14:textId="77777777" w:rsidR="00076776" w:rsidRDefault="00000000">
      <w:pPr>
        <w:pStyle w:val="Heading2"/>
      </w:pPr>
      <w:r>
        <w:t>Notes</w:t>
      </w:r>
    </w:p>
    <w:p w14:paraId="3E9AF2D4" w14:textId="77777777" w:rsidR="00076776" w:rsidRDefault="00000000">
      <w:r>
        <w:t xml:space="preserve">Re: </w:t>
      </w:r>
      <w:r>
        <w:rPr>
          <w:highlight w:val="green"/>
        </w:rPr>
        <w:t>37</w:t>
      </w:r>
      <w:r>
        <w:t xml:space="preserve">: </w:t>
      </w:r>
      <w:r>
        <w:rPr>
          <w:b/>
        </w:rPr>
        <w:t>toponymic rescaling:</w:t>
      </w:r>
      <w:r>
        <w:t xml:space="preserve"> This is an important concept, as it connects, for me, to @</w:t>
      </w:r>
      <w:proofErr w:type="gramStart"/>
      <w:r>
        <w:t>Link:</w:t>
      </w:r>
      <w:r>
        <w:rPr>
          <w:highlight w:val="magenta"/>
        </w:rPr>
        <w:t>McPherson</w:t>
      </w:r>
      <w:r>
        <w:t>’s</w:t>
      </w:r>
      <w:proofErr w:type="gramEnd"/>
      <w:r>
        <w:t xml:space="preserve"> ideas on modularity and compartmentalization: it is by creating this new, nodal concept of “Salish Sea” that it can be </w:t>
      </w:r>
      <w:r>
        <w:rPr>
          <w:i/>
        </w:rPr>
        <w:t>additive</w:t>
      </w:r>
      <w:r>
        <w:t xml:space="preserve"> to the larger, hegemonic namespace, as opposed to a replacement. @Todo: expand on this in one of your essays, perhaps a new one altogether: “Subsumed not Subversive: Hegemonic Absorption of Indigenous Toponyms.” </w:t>
      </w:r>
    </w:p>
    <w:p w14:paraId="59628016" w14:textId="77777777" w:rsidR="00076776" w:rsidRDefault="00000000">
      <w:pPr>
        <w:pStyle w:val="Heading1"/>
      </w:pPr>
      <w:bookmarkStart w:id="37" w:name="_heading=h.1hmsyys" w:colFirst="0" w:colLast="0"/>
      <w:bookmarkEnd w:id="37"/>
      <w:r>
        <w:t xml:space="preserve">(2105) </w:t>
      </w:r>
      <w:proofErr w:type="spellStart"/>
      <w:r>
        <w:t>Murphyao</w:t>
      </w:r>
      <w:proofErr w:type="spellEnd"/>
      <w:r>
        <w:t xml:space="preserve"> &amp; Black: “Unsettling Settler Belonging: (Re)naming and Territory Making in the Pacific Northwest” </w:t>
      </w:r>
    </w:p>
    <w:p w14:paraId="32D8BA5D" w14:textId="77777777" w:rsidR="00076776" w:rsidRDefault="00076776"/>
    <w:p w14:paraId="3F724A9E" w14:textId="77777777" w:rsidR="00076776" w:rsidRDefault="00000000">
      <w:pPr>
        <w:pStyle w:val="Heading2"/>
      </w:pPr>
      <w:r>
        <w:t>Abstract</w:t>
      </w:r>
    </w:p>
    <w:p w14:paraId="1EA55828" w14:textId="77777777" w:rsidR="00076776" w:rsidRDefault="00000000">
      <w:r>
        <w:t>To unsettle Settler origin stories, we strive to reveal the legacy of (dis)possession rooted in naming. … We use these examples [Salish Sea, Juan de Fuca Strait, Georgia Strait] to demonstrate the unsettling potential of (re)naming practices.</w:t>
      </w:r>
    </w:p>
    <w:p w14:paraId="4833B851" w14:textId="77777777" w:rsidR="00076776" w:rsidRDefault="00076776"/>
    <w:p w14:paraId="0332E7B4" w14:textId="77777777" w:rsidR="00076776" w:rsidRDefault="00000000">
      <w:pPr>
        <w:pStyle w:val="Heading2"/>
      </w:pPr>
      <w:r>
        <w:t>Key words</w:t>
      </w:r>
    </w:p>
    <w:p w14:paraId="52EF838F" w14:textId="77777777" w:rsidR="00076776" w:rsidRDefault="00000000">
      <w:r>
        <w:t>toponyms, renaming, Salish Sea, Juan de Fuca Strait, Georgia Strait, San Juan Water Boundary Dispute, Oregon Treaty, decolonization</w:t>
      </w:r>
    </w:p>
    <w:p w14:paraId="4996F45F" w14:textId="77777777" w:rsidR="00076776" w:rsidRDefault="00076776"/>
    <w:p w14:paraId="3F29AED0" w14:textId="77777777" w:rsidR="00076776" w:rsidRDefault="00000000">
      <w:pPr>
        <w:pStyle w:val="Heading2"/>
      </w:pPr>
      <w:r>
        <w:t>Essential quote</w:t>
      </w:r>
    </w:p>
    <w:p w14:paraId="3D243449" w14:textId="77777777" w:rsidR="00076776" w:rsidRDefault="00000000">
      <w:r>
        <w:t xml:space="preserve">325-26 Whether through Manifest Destiny or the linking of British colonies, the Settler-state’s goal has been, and continues to be, the possession of Indigenous territories. Nothing about this process is inevitable; the combined forces of imperialism, colonialism, transportation </w:t>
      </w:r>
      <w:r>
        <w:lastRenderedPageBreak/>
        <w:t xml:space="preserve">technology, cartographic practices, and naming—among other systems—contribute to Settler dominance in the region known today as North America (Blaut 1993). Toponyms and taxonomy remain an active part of the ongoing process of Settler colonialism, lending a sense of permanence and inevitability to Settler presence on and domination of the landscape. Naming represents a thread from the past to the present and, if left unexamined, names </w:t>
      </w:r>
      <w:proofErr w:type="gramStart"/>
      <w:r>
        <w:t>have the ability to</w:t>
      </w:r>
      <w:proofErr w:type="gramEnd"/>
      <w:r>
        <w:t xml:space="preserve"> carry on banal colonialism. However, names can also be (re)deployed as a challenge to ongoing colonialism.</w:t>
      </w:r>
    </w:p>
    <w:p w14:paraId="30F69C61" w14:textId="77777777" w:rsidR="00076776" w:rsidRDefault="00076776"/>
    <w:p w14:paraId="7FD9F021" w14:textId="77777777" w:rsidR="00076776" w:rsidRDefault="00000000">
      <w:pPr>
        <w:pStyle w:val="Heading2"/>
      </w:pPr>
      <w:r>
        <w:t>Terms</w:t>
      </w:r>
    </w:p>
    <w:p w14:paraId="66DE1959" w14:textId="77777777" w:rsidR="00076776" w:rsidRDefault="00000000">
      <w:r>
        <w:t xml:space="preserve">317: </w:t>
      </w:r>
      <w:r>
        <w:rPr>
          <w:b/>
        </w:rPr>
        <w:t>settler people</w:t>
      </w:r>
      <w:r>
        <w:t>: from Adam J. Barker’s definition: “Settler people in this context include most peoples who occupy lands previously stolen or in the process of being taken from their Indigenous inhabitants or who are otherwise members of the ‘Settler society,’ which is founded on co-opted lands and resources. (2009, 328).”</w:t>
      </w:r>
    </w:p>
    <w:p w14:paraId="717F52CE" w14:textId="77777777" w:rsidR="00076776" w:rsidRDefault="00000000">
      <w:pPr>
        <w:ind w:left="720"/>
      </w:pPr>
      <w:r>
        <w:t xml:space="preserve">Source: </w:t>
      </w:r>
      <w:r>
        <w:rPr>
          <w:highlight w:val="magenta"/>
        </w:rPr>
        <w:t>Barker</w:t>
      </w:r>
      <w:r>
        <w:t xml:space="preserve">, A.J. 2009. “The Contemporary Reality of Canadian Imperialism: Settler Colonialism and the Hybrid Colonial State.” </w:t>
      </w:r>
      <w:r>
        <w:rPr>
          <w:i/>
        </w:rPr>
        <w:t>The American Indian Quarterly</w:t>
      </w:r>
      <w:r>
        <w:t xml:space="preserve"> 33 (3): 325–351. doi:10.1353/aiq.0.0054. </w:t>
      </w:r>
    </w:p>
    <w:p w14:paraId="3C98A31F" w14:textId="77777777" w:rsidR="00076776" w:rsidRDefault="00000000">
      <w:r>
        <w:rPr>
          <w:highlight w:val="green"/>
        </w:rPr>
        <w:t>317</w:t>
      </w:r>
      <w:r>
        <w:t xml:space="preserve">: </w:t>
      </w:r>
      <w:r>
        <w:rPr>
          <w:b/>
          <w:highlight w:val="green"/>
        </w:rPr>
        <w:t>banal colonialism</w:t>
      </w:r>
      <w:r>
        <w:t>: “…’banal colonialism’ to indicate the unremarked upon actions and events that signal Settler belonging, including the use of names. Through the constant repetition of Settler names in maps, guidebooks, daily conversation, and other wayfinding practices, Settler claims are continually (re)inscribed across occupied territory.”</w:t>
      </w:r>
    </w:p>
    <w:p w14:paraId="46B6A085" w14:textId="77777777" w:rsidR="00076776" w:rsidRDefault="00000000">
      <w:r>
        <w:t xml:space="preserve">318: </w:t>
      </w:r>
      <w:r>
        <w:rPr>
          <w:b/>
        </w:rPr>
        <w:t>meta-narrative of Settler belonging</w:t>
      </w:r>
      <w:r>
        <w:t xml:space="preserve">: another way of saying manifest destiny. </w:t>
      </w:r>
    </w:p>
    <w:p w14:paraId="6738FA5C" w14:textId="77777777" w:rsidR="00076776" w:rsidRDefault="00000000">
      <w:r>
        <w:t xml:space="preserve">325: </w:t>
      </w:r>
      <w:r>
        <w:rPr>
          <w:b/>
        </w:rPr>
        <w:t xml:space="preserve">doctrine of Manifest </w:t>
      </w:r>
      <w:proofErr w:type="gramStart"/>
      <w:r>
        <w:rPr>
          <w:b/>
        </w:rPr>
        <w:t>Destiny</w:t>
      </w:r>
      <w:r>
        <w:t xml:space="preserve"> :</w:t>
      </w:r>
      <w:proofErr w:type="gramEnd"/>
      <w:r>
        <w:t xml:space="preserve"> “A boundary down the middle of Haro Strait would provide more territory for the United States, in accordance with the doctrine of Manifest Destiny.”</w:t>
      </w:r>
    </w:p>
    <w:p w14:paraId="0FE998C8" w14:textId="77777777" w:rsidR="00076776" w:rsidRDefault="00076776"/>
    <w:p w14:paraId="0F96DFB7" w14:textId="77777777" w:rsidR="00076776" w:rsidRDefault="00000000">
      <w:pPr>
        <w:pStyle w:val="Heading2"/>
      </w:pPr>
      <w:r>
        <w:t>Core quotes</w:t>
      </w:r>
    </w:p>
    <w:p w14:paraId="2A1125A8" w14:textId="77777777" w:rsidR="00076776" w:rsidRDefault="00000000">
      <w:r>
        <w:t>315 @NeoCol@Topo@Arg</w:t>
      </w:r>
    </w:p>
    <w:p w14:paraId="6EDE5E04" w14:textId="77777777" w:rsidR="00076776" w:rsidRDefault="00000000">
      <w:pPr>
        <w:ind w:left="720"/>
      </w:pPr>
      <w:r>
        <w:t xml:space="preserve">Our interest in this article is in the ability of names to act as daily reminders of a colonial presence, and in the unsettling potential of (re)naming practices. … Through an interrogation of historical and contemporary processes of naming along the British Columbia and Washington coasts, </w:t>
      </w:r>
      <w:r>
        <w:rPr>
          <w:b/>
        </w:rPr>
        <w:t>we argue that questioning the names used to describe and delineate territory can unsettle the ongoing process of Settler colonialism</w:t>
      </w:r>
      <w:r>
        <w:t>.</w:t>
      </w:r>
    </w:p>
    <w:p w14:paraId="63C9C44D" w14:textId="77777777" w:rsidR="00076776" w:rsidRDefault="00076776"/>
    <w:p w14:paraId="4E7C99C2" w14:textId="77777777" w:rsidR="00076776" w:rsidRDefault="00000000">
      <w:r>
        <w:t xml:space="preserve">316 </w:t>
      </w:r>
      <w:proofErr w:type="spellStart"/>
      <w:r>
        <w:t>ISr@Pow@NeoCol@Hegem</w:t>
      </w:r>
      <w:proofErr w:type="spellEnd"/>
    </w:p>
    <w:p w14:paraId="1D2394E0" w14:textId="77777777" w:rsidR="00076776" w:rsidRDefault="00000000">
      <w:pPr>
        <w:ind w:left="720"/>
      </w:pPr>
      <w:r>
        <w:t>As an ongoing process, colonialism does not have a defined beginning and end; rather, it is nonlinear and is enacted by diffuse and uneven practices of power.</w:t>
      </w:r>
    </w:p>
    <w:p w14:paraId="79131057" w14:textId="77777777" w:rsidR="00076776" w:rsidRDefault="00076776"/>
    <w:p w14:paraId="6B66D7EF" w14:textId="77777777" w:rsidR="00076776" w:rsidRDefault="00000000">
      <w:r>
        <w:t>317 @NeoCol@Law</w:t>
      </w:r>
    </w:p>
    <w:p w14:paraId="6376CF1A" w14:textId="77777777" w:rsidR="00076776" w:rsidRDefault="00000000">
      <w:pPr>
        <w:ind w:left="720"/>
      </w:pPr>
      <w:r>
        <w:t xml:space="preserve">Eva Mackey argues that ‘decolonization, for settlers and for settler law, may entail embracing </w:t>
      </w:r>
      <w:proofErr w:type="gramStart"/>
      <w:r>
        <w:t>particular forms</w:t>
      </w:r>
      <w:proofErr w:type="gramEnd"/>
      <w:r>
        <w:t xml:space="preserve"> of (likely uncomfortable) uncertainty </w:t>
      </w:r>
      <w:proofErr w:type="gramStart"/>
      <w:r>
        <w:t>in order to</w:t>
      </w:r>
      <w:proofErr w:type="gramEnd"/>
      <w:r>
        <w:t xml:space="preserve"> imagine and practice relationships and power in new and creative ways’ (2014, 237).</w:t>
      </w:r>
    </w:p>
    <w:p w14:paraId="5FF40C35" w14:textId="77777777" w:rsidR="00076776" w:rsidRDefault="00000000">
      <w:pPr>
        <w:ind w:left="1440"/>
      </w:pPr>
      <w:r>
        <w:t xml:space="preserve">Source: </w:t>
      </w:r>
      <w:r>
        <w:rPr>
          <w:highlight w:val="magenta"/>
        </w:rPr>
        <w:t>Mackey</w:t>
      </w:r>
      <w:r>
        <w:t>, E. 2014. “Unsettling Expectations: (Un)certainty, Settler States of Feeling, Law, and Decolonization</w:t>
      </w:r>
      <w:r>
        <w:rPr>
          <w:i/>
        </w:rPr>
        <w:t>.” Canadian Journal of Law and Society/Revue Canadienne Droit et Société</w:t>
      </w:r>
      <w:r>
        <w:t xml:space="preserve"> 29: 235–252. doi:10.1017/cls.2014.10.</w:t>
      </w:r>
    </w:p>
    <w:p w14:paraId="30853F72" w14:textId="77777777" w:rsidR="00076776" w:rsidRDefault="00076776"/>
    <w:p w14:paraId="02DFCB5D" w14:textId="77777777" w:rsidR="00076776" w:rsidRDefault="00000000">
      <w:r>
        <w:lastRenderedPageBreak/>
        <w:t>318 @ManDest@Topo@Arg@IKSG</w:t>
      </w:r>
    </w:p>
    <w:p w14:paraId="5E89652E" w14:textId="77777777" w:rsidR="00076776" w:rsidRDefault="00000000">
      <w:pPr>
        <w:ind w:left="720"/>
      </w:pPr>
      <w:r>
        <w:t>While Settlers may feel a strong affinity for their own names, attempts to link these toponyms with a perceived “ancient past” where Settlers are the intended inhabitants must be countered…. Holding Indigenous names and Settler names in tension betrays the constructed nature of an “ancient” Settler past and creates space for alternative ways of knowing.</w:t>
      </w:r>
    </w:p>
    <w:p w14:paraId="57FB90F8" w14:textId="77777777" w:rsidR="00076776" w:rsidRDefault="00076776"/>
    <w:p w14:paraId="68F56337" w14:textId="77777777" w:rsidR="00076776" w:rsidRDefault="00000000">
      <w:r>
        <w:t>@</w:t>
      </w:r>
      <w:proofErr w:type="gramStart"/>
      <w:r>
        <w:t>L?@</w:t>
      </w:r>
      <w:proofErr w:type="gramEnd"/>
      <w:r>
        <w:t>Topo</w:t>
      </w:r>
    </w:p>
    <w:p w14:paraId="28EC2F1E" w14:textId="77777777" w:rsidR="00076776" w:rsidRDefault="00000000">
      <w:pPr>
        <w:ind w:left="720"/>
      </w:pPr>
      <w:r>
        <w:t xml:space="preserve">Settler names, or Settler versions of Indigenous names, are combined with maps and property regimes to inform </w:t>
      </w:r>
      <w:proofErr w:type="gramStart"/>
      <w:r>
        <w:t>particular conceptions</w:t>
      </w:r>
      <w:proofErr w:type="gramEnd"/>
      <w:r>
        <w:t xml:space="preserve"> of territory (Rose 1994; Sparke 1998; Bryan 2000; Harris 2002; </w:t>
      </w:r>
      <w:proofErr w:type="spellStart"/>
      <w:r>
        <w:t>Blomley</w:t>
      </w:r>
      <w:proofErr w:type="spellEnd"/>
      <w:r>
        <w:t xml:space="preserve"> 2003; Mclaren, Buck, and Wright 2005; Berg and </w:t>
      </w:r>
      <w:proofErr w:type="spellStart"/>
      <w:r>
        <w:t>Vuolteenaho</w:t>
      </w:r>
      <w:proofErr w:type="spellEnd"/>
      <w:r>
        <w:t xml:space="preserve"> 2009). As </w:t>
      </w:r>
      <w:proofErr w:type="spellStart"/>
      <w:r>
        <w:t>Mishuana</w:t>
      </w:r>
      <w:proofErr w:type="spellEnd"/>
      <w:r>
        <w:t xml:space="preserve"> Goeman has argued, “[t]he inability to bind land to settler societies or expunge Indigenous sense of place is the anxiety producing thorn in the side of nation-states” (2008, 25).</w:t>
      </w:r>
    </w:p>
    <w:p w14:paraId="07D8483A" w14:textId="77777777" w:rsidR="00076776" w:rsidRDefault="00076776"/>
    <w:p w14:paraId="0F5780A3" w14:textId="77777777" w:rsidR="00076776" w:rsidRDefault="00000000">
      <w:r>
        <w:rPr>
          <w:highlight w:val="green"/>
        </w:rPr>
        <w:t>@</w:t>
      </w:r>
      <w:proofErr w:type="gramStart"/>
      <w:r>
        <w:rPr>
          <w:highlight w:val="green"/>
        </w:rPr>
        <w:t>K?@</w:t>
      </w:r>
      <w:proofErr w:type="gramEnd"/>
      <w:r>
        <w:t>CultApp@Topo@IKSG</w:t>
      </w:r>
    </w:p>
    <w:p w14:paraId="2AEE9D18" w14:textId="77777777" w:rsidR="00076776" w:rsidRDefault="00000000">
      <w:r>
        <w:t xml:space="preserve">Domination through inculcation? Toponymic synthesis? This is the same thing that </w:t>
      </w:r>
      <w:r>
        <w:rPr>
          <w:highlight w:val="magenta"/>
        </w:rPr>
        <w:t>Iona Campagnolo</w:t>
      </w:r>
      <w:r>
        <w:t xml:space="preserve"> did in her exit speech (find the source for this on the Lt Gov website?): </w:t>
      </w:r>
    </w:p>
    <w:p w14:paraId="1F0D7E2F" w14:textId="77777777" w:rsidR="00076776" w:rsidRDefault="00076776"/>
    <w:p w14:paraId="63AE8A18" w14:textId="77777777" w:rsidR="00076776" w:rsidRDefault="00000000">
      <w:pPr>
        <w:ind w:left="720"/>
      </w:pPr>
      <w:r>
        <w:t xml:space="preserve">Aboriginal Affairs and Northern Development Canada web page tells visitors that </w:t>
      </w:r>
      <w:r>
        <w:rPr>
          <w:rFonts w:ascii="Helvetica Neue" w:eastAsia="Helvetica Neue" w:hAnsi="Helvetica Neue" w:cs="Helvetica Neue"/>
        </w:rPr>
        <w:t>“</w:t>
      </w:r>
      <w:r>
        <w:t>the story of Aboriginal place names goes back to the earliest remembered history of our country</w:t>
      </w:r>
      <w:r>
        <w:rPr>
          <w:rFonts w:ascii="Helvetica Neue" w:eastAsia="Helvetica Neue" w:hAnsi="Helvetica Neue" w:cs="Helvetica Neue"/>
        </w:rPr>
        <w:t xml:space="preserve">” </w:t>
      </w:r>
      <w:r>
        <w:t>(</w:t>
      </w:r>
      <w:r>
        <w:rPr>
          <w:rFonts w:ascii="Helvetica Neue" w:eastAsia="Helvetica Neue" w:hAnsi="Helvetica Neue" w:cs="Helvetica Neue"/>
        </w:rPr>
        <w:t>“</w:t>
      </w:r>
      <w:r>
        <w:t>Aboriginal Place Names</w:t>
      </w:r>
      <w:r>
        <w:rPr>
          <w:rFonts w:ascii="Helvetica Neue" w:eastAsia="Helvetica Neue" w:hAnsi="Helvetica Neue" w:cs="Helvetica Neue"/>
        </w:rPr>
        <w:t xml:space="preserve">” </w:t>
      </w:r>
      <w:r>
        <w:rPr>
          <w:color w:val="00006C"/>
        </w:rPr>
        <w:t>2001</w:t>
      </w:r>
      <w:r>
        <w:t>, emphasis added).</w:t>
      </w:r>
      <w:r>
        <w:rPr>
          <w:rFonts w:ascii="Times" w:eastAsia="Times" w:hAnsi="Times" w:cs="Times"/>
          <w:color w:val="000000"/>
          <w:sz w:val="20"/>
          <w:szCs w:val="20"/>
        </w:rPr>
        <w:t xml:space="preserve"> </w:t>
      </w:r>
      <w:r>
        <w:t xml:space="preserve">This proprietary approach to place names and territory (re)inscribes Settler belonging by claiming a shared past and legacy while concealing ongoing (dis)possession. … While </w:t>
      </w:r>
      <w:r>
        <w:rPr>
          <w:b/>
        </w:rPr>
        <w:t>Settlers</w:t>
      </w:r>
      <w:r>
        <w:t xml:space="preserve"> may feel a strong affinity for their own names, attempts to link these toponyms with </w:t>
      </w:r>
      <w:r>
        <w:rPr>
          <w:b/>
        </w:rPr>
        <w:t>a perceived ‘ancient past’ where Settlers are the intended inhabitants</w:t>
      </w:r>
      <w:r>
        <w:t xml:space="preserve"> must be countered. … Holding Indigenous names and Settler names in tension betrays the constructed nature of an ‘ancient’ Settler past and creates space for alternative ways of knowing.</w:t>
      </w:r>
    </w:p>
    <w:p w14:paraId="39F49D53" w14:textId="77777777" w:rsidR="00076776" w:rsidRDefault="00076776"/>
    <w:p w14:paraId="7844547D" w14:textId="77777777" w:rsidR="00076776" w:rsidRDefault="00000000">
      <w:r>
        <w:t>321 @Para@ISr@Topo@NeoCol</w:t>
      </w:r>
    </w:p>
    <w:p w14:paraId="706A295B" w14:textId="77777777" w:rsidR="00076776" w:rsidRDefault="00000000">
      <w:pPr>
        <w:ind w:left="720"/>
      </w:pPr>
      <w:r>
        <w:t>The Salish Sea has the potential to be an unsettling practice. “Salish Sea” is a</w:t>
      </w:r>
    </w:p>
    <w:p w14:paraId="33C1821E" w14:textId="77777777" w:rsidR="00076776" w:rsidRDefault="00000000">
      <w:pPr>
        <w:ind w:left="720"/>
      </w:pPr>
      <w:r>
        <w:t>recognition of the Coast Salish Peoples that has the potential to be held in tension with</w:t>
      </w:r>
    </w:p>
    <w:p w14:paraId="21A98EB2" w14:textId="77777777" w:rsidR="00076776" w:rsidRDefault="00000000">
      <w:pPr>
        <w:ind w:left="720"/>
      </w:pPr>
      <w:r>
        <w:t>the enduring legacy of colonialism in the territory. However, the name has certainly been</w:t>
      </w:r>
    </w:p>
    <w:p w14:paraId="00D3F552" w14:textId="77777777" w:rsidR="00076776" w:rsidRDefault="00000000">
      <w:pPr>
        <w:ind w:left="720"/>
      </w:pPr>
      <w:r>
        <w:t>deployed in the service of both environmental activism and commodification, creating a</w:t>
      </w:r>
    </w:p>
    <w:p w14:paraId="5E76F62C" w14:textId="77777777" w:rsidR="00076776" w:rsidRDefault="00000000">
      <w:pPr>
        <w:ind w:left="720"/>
      </w:pPr>
      <w:r>
        <w:t>risk that “Salish Sea” has become normalized and devoid of its association with Coast Salish Peoples.</w:t>
      </w:r>
    </w:p>
    <w:p w14:paraId="14CED659" w14:textId="77777777" w:rsidR="00076776" w:rsidRDefault="00076776"/>
    <w:p w14:paraId="5E01C389" w14:textId="77777777" w:rsidR="00076776" w:rsidRDefault="00000000">
      <w:r>
        <w:t xml:space="preserve">@FFessay </w:t>
      </w:r>
      <w:r>
        <w:rPr>
          <w:highlight w:val="yellow"/>
        </w:rPr>
        <w:t>Is it possible to avoid a colonial, banal, outcome from the reclamation/addition of Indigenous toponyms?</w:t>
      </w:r>
      <w:r>
        <w:t xml:space="preserve"> After all, is it not on settler terms that these toponyms are “reclaimed” and legitimized through state-sanctioned, settler organizations? R-R talks about this, what I see as the toponymic paradox: to empower through naming is to simultaneously disempower through banality. I am curious to see if this is quandary has a hatch. However, this paradox is an intellectual one, and I would argue that the reality of changing names makes a difference to ideas of space and place, and it restores, among other things, a dignity that colonialism works so consistently to damage.</w:t>
      </w:r>
    </w:p>
    <w:p w14:paraId="04B7493F" w14:textId="77777777" w:rsidR="00076776" w:rsidRDefault="00076776"/>
    <w:p w14:paraId="0681ADA3" w14:textId="77777777" w:rsidR="00076776" w:rsidRDefault="00000000">
      <w:r>
        <w:lastRenderedPageBreak/>
        <w:t>322 @Map@Pow</w:t>
      </w:r>
    </w:p>
    <w:p w14:paraId="37EEFF16" w14:textId="77777777" w:rsidR="00076776" w:rsidRDefault="00000000">
      <w:pPr>
        <w:ind w:left="720"/>
      </w:pPr>
      <w:r>
        <w:t>Geoff King argues in Mapping Reality: “The power to draw or redraw a map is a considerable one, involving as it does the power to define . . . what is or is not real” (1996, 16).</w:t>
      </w:r>
    </w:p>
    <w:p w14:paraId="66BCC3A9" w14:textId="77777777" w:rsidR="00076776" w:rsidRDefault="00076776"/>
    <w:p w14:paraId="72AB0DF9" w14:textId="77777777" w:rsidR="00076776" w:rsidRDefault="00000000">
      <w:r>
        <w:t>323 @Ontol@Hegem@Border@Topo@ITop</w:t>
      </w:r>
    </w:p>
    <w:p w14:paraId="2743F2A8" w14:textId="77777777" w:rsidR="00076776" w:rsidRDefault="00000000">
      <w:pPr>
        <w:ind w:left="720"/>
      </w:pPr>
      <w:r>
        <w:t xml:space="preserve">In essence, comparing the Songhees name of </w:t>
      </w:r>
      <w:proofErr w:type="spellStart"/>
      <w:r>
        <w:t>Tlchess</w:t>
      </w:r>
      <w:proofErr w:type="spellEnd"/>
      <w:r>
        <w:t xml:space="preserve"> and the Settler names, Discovery and Chatham, demonstrates the ways in which Settlers can misunderstand and misrepresent territory in everyday language and maps. Affixing the myth of separate islands in this way transforms and erases Songhees territory; </w:t>
      </w:r>
      <w:proofErr w:type="spellStart"/>
      <w:r>
        <w:t>Tlchess</w:t>
      </w:r>
      <w:proofErr w:type="spellEnd"/>
      <w:r>
        <w:t xml:space="preserve"> becomes mapped and claimed as two distinct spaces.</w:t>
      </w:r>
    </w:p>
    <w:p w14:paraId="74C0F1C4" w14:textId="77777777" w:rsidR="00076776" w:rsidRDefault="00076776"/>
    <w:p w14:paraId="2907EB22" w14:textId="77777777" w:rsidR="00076776" w:rsidRDefault="00000000">
      <w:r>
        <w:t>@</w:t>
      </w:r>
      <w:proofErr w:type="gramStart"/>
      <w:r>
        <w:t>Link:</w:t>
      </w:r>
      <w:r>
        <w:rPr>
          <w:highlight w:val="magenta"/>
        </w:rPr>
        <w:t>King</w:t>
      </w:r>
      <w:proofErr w:type="gramEnd"/>
      <w:r>
        <w:t>@Border@Topo</w:t>
      </w:r>
    </w:p>
    <w:p w14:paraId="2FD445A7" w14:textId="77777777" w:rsidR="00076776" w:rsidRDefault="00000000">
      <w:pPr>
        <w:ind w:left="720"/>
      </w:pPr>
      <w:r>
        <w:t xml:space="preserve">Thomas King has said, “the border doesn’t mean that much to </w:t>
      </w:r>
      <w:proofErr w:type="gramStart"/>
      <w:r>
        <w:t>the majority of</w:t>
      </w:r>
      <w:proofErr w:type="gramEnd"/>
      <w:r>
        <w:t xml:space="preserve"> Native people in either country. It is, after all, a figment of someone else’s imagination” (King 2003, 102).</w:t>
      </w:r>
    </w:p>
    <w:p w14:paraId="7D80EA63" w14:textId="77777777" w:rsidR="00076776" w:rsidRDefault="00076776"/>
    <w:p w14:paraId="55ACC62F" w14:textId="77777777" w:rsidR="00076776" w:rsidRDefault="00000000">
      <w:r>
        <w:t>326-27 @NeoCol@Reason@ManDest</w:t>
      </w:r>
    </w:p>
    <w:p w14:paraId="603BDA68" w14:textId="77777777" w:rsidR="00076776" w:rsidRDefault="00000000">
      <w:pPr>
        <w:ind w:left="720"/>
      </w:pPr>
      <w:r>
        <w:t xml:space="preserve">The naming, categorization, and documentation of the places, people, and animals of a </w:t>
      </w:r>
      <w:r>
        <w:rPr>
          <w:i/>
        </w:rPr>
        <w:t>terra incognita</w:t>
      </w:r>
      <w:r>
        <w:t xml:space="preserve"> was key to imperial projects and historic colonialism. …While Steller’s naming was motivated by Enlightenment knowledge systems and a contest for global conquest, the Mayne Island Conservancy’s contest demonstrates that ongoing practices of naming can be deployed at a local and more intimate level.</w:t>
      </w:r>
    </w:p>
    <w:p w14:paraId="73369FBF" w14:textId="77777777" w:rsidR="00076776" w:rsidRDefault="00076776"/>
    <w:p w14:paraId="119B45AB" w14:textId="77777777" w:rsidR="00076776" w:rsidRDefault="00000000">
      <w:pPr>
        <w:pStyle w:val="Heading2"/>
      </w:pPr>
      <w:r>
        <w:t>Secondary quotes</w:t>
      </w:r>
    </w:p>
    <w:p w14:paraId="0CCC7E87" w14:textId="77777777" w:rsidR="00076776" w:rsidRDefault="00000000">
      <w:r>
        <w:t>316 @</w:t>
      </w:r>
      <w:r>
        <w:rPr>
          <w:highlight w:val="magenta"/>
        </w:rPr>
        <w:t>LinkTuck&amp;Yang</w:t>
      </w:r>
      <w:r>
        <w:t>: “The geographic dominion over land, flora, and fauna is foundational to Settler colonialism (Tuck and Yang 2012) …” / “Captain John T. Walbran’s 1909 book British Columbia Coast Names…” / “Names are not static—their significance and meaning may shift over time, and these shifts are frequently deployed in the service of Settler colonialism (Nash 1999).” / 317 “Eve Tuck and K. Wayne Yang argue that decolonization is rooted in the struggle for territory: decolonization in the settler colonial context must involve the repatriation of land simultaneous to the recognition of how land and relations to land have always already been differently understood and enacted. (2012, 7)” / 318 “</w:t>
      </w:r>
      <w:r>
        <w:rPr>
          <w:highlight w:val="magenta"/>
        </w:rPr>
        <w:t>Brian Thom</w:t>
      </w:r>
      <w:r>
        <w:t xml:space="preserve"> notes that Coast Salish territories are organized / with each other by residence in ancestral communities, or descent from ancestors connected to particular places, drawing authority from their association of historical and mythical privileges handed down from the ancestors and learned by engaging in respectful spirit relations with the non-human persons in the land. (2005, 30)” / Salish Sea section starts on 319: “There is pedagogical potential in the tension between these older names and the new name of the Salish Sea.” / 320 “The Salish Sea. Map produced by Kristina Kwiatkowski” / 321 Section: ““Placing it on his chart”: the Strait of Juan de Fuca” / 322: </w:t>
      </w:r>
      <w:proofErr w:type="spellStart"/>
      <w:r>
        <w:rPr>
          <w:highlight w:val="magenta"/>
        </w:rPr>
        <w:t>Umeek</w:t>
      </w:r>
      <w:proofErr w:type="spellEnd"/>
      <w:r>
        <w:rPr>
          <w:highlight w:val="magenta"/>
        </w:rPr>
        <w:t xml:space="preserve"> (E. Richard Atleo)</w:t>
      </w:r>
      <w:r>
        <w:t xml:space="preserve"> explains that, wherever the Nuu-chah-nulth travel, “one can be confronted by geographical landmarks associated with great events that provide orientation to, and an explanation of, the nature of existence.” / “Gran Canal, Gulf, or Strait of Georgia?” / “</w:t>
      </w:r>
      <w:r>
        <w:rPr>
          <w:highlight w:val="magenta"/>
        </w:rPr>
        <w:t>Cheryl Bryce</w:t>
      </w:r>
      <w:r>
        <w:t xml:space="preserve">, Lands Manager for the Songhees First Nation, notes that Discovery Island and Chatham Island, named for Vancouver’s ships and located off the southern tip of Vancouver Island, is actually “all one big island at low tide” (Penn 2006). The Songhees name for this place is </w:t>
      </w:r>
      <w:proofErr w:type="spellStart"/>
      <w:r>
        <w:t>Tlchess</w:t>
      </w:r>
      <w:proofErr w:type="spellEnd"/>
      <w:r>
        <w:t xml:space="preserve">, which translates to </w:t>
      </w:r>
      <w:r>
        <w:lastRenderedPageBreak/>
        <w:t xml:space="preserve">“one island.” / 323 “Inter-Settler claim-making: the San Juan Water Boundary Dispute (1859–1872)” … Oregon Treaty of 1846 … / 325. “Claiming territory because it was supposedly unnamed was not an argument used only during inter-Settler claim-making. Indigenous territories and place names went unnamed in the </w:t>
      </w:r>
      <w:r>
        <w:rPr>
          <w:b/>
        </w:rPr>
        <w:t>Douglas treaties (1850–1854)</w:t>
      </w:r>
      <w:r>
        <w:t xml:space="preserve"> signed with some Coast Salish Peoples, legitimizing (dis)possession by Settlers through vague and expansive provisions. </w:t>
      </w:r>
      <w:r>
        <w:rPr>
          <w:highlight w:val="magenta"/>
        </w:rPr>
        <w:t>John Elliott Sr</w:t>
      </w:r>
      <w:r>
        <w:t xml:space="preserve">. of the Tsartlip First Nation recalls / I don’t think our people would have gave up the territory for any blankets . . . because they roamed freely over this land, and they went all the way from here to </w:t>
      </w:r>
      <w:r>
        <w:rPr>
          <w:b/>
        </w:rPr>
        <w:t>White Rock</w:t>
      </w:r>
      <w:r>
        <w:t xml:space="preserve"> and all the way out to San Juan Islands, and Henry Island, and </w:t>
      </w:r>
      <w:proofErr w:type="spellStart"/>
      <w:r>
        <w:t>Seyward</w:t>
      </w:r>
      <w:proofErr w:type="spellEnd"/>
      <w:r>
        <w:t xml:space="preserve"> Island, and all those islands were our islands so . . . (names the islands in </w:t>
      </w:r>
      <w:proofErr w:type="spellStart"/>
      <w:r>
        <w:t>Sencoten</w:t>
      </w:r>
      <w:proofErr w:type="spellEnd"/>
      <w:r>
        <w:t xml:space="preserve">)… / </w:t>
      </w:r>
    </w:p>
    <w:p w14:paraId="1C1EA682" w14:textId="77777777" w:rsidR="00076776" w:rsidRDefault="00076776"/>
    <w:p w14:paraId="5EE69C2C" w14:textId="77777777" w:rsidR="00076776" w:rsidRDefault="00076776"/>
    <w:p w14:paraId="500220BF" w14:textId="77777777" w:rsidR="00076776" w:rsidRDefault="00000000">
      <w:pPr>
        <w:pStyle w:val="Heading2"/>
      </w:pPr>
      <w:r>
        <w:t>Notes</w:t>
      </w:r>
    </w:p>
    <w:p w14:paraId="7CAF1447" w14:textId="77777777" w:rsidR="00076776" w:rsidRDefault="00000000">
      <w:r>
        <w:t>327 @Diss</w:t>
      </w:r>
    </w:p>
    <w:p w14:paraId="63A9E047" w14:textId="77777777" w:rsidR="00076776" w:rsidRDefault="00000000">
      <w:r>
        <w:t xml:space="preserve">Could be a way to phrase my mapping project, as a “counter-narrative,” through toponymic reclamation: </w:t>
      </w:r>
    </w:p>
    <w:p w14:paraId="070DE0A2" w14:textId="77777777" w:rsidR="00076776" w:rsidRDefault="00000000">
      <w:pPr>
        <w:ind w:left="720"/>
      </w:pPr>
      <w:r>
        <w:t xml:space="preserve">Offering </w:t>
      </w:r>
      <w:r>
        <w:rPr>
          <w:b/>
        </w:rPr>
        <w:t>counter-narratives</w:t>
      </w:r>
      <w:r>
        <w:t xml:space="preserve"> introduces a potential for unsettling confrontation with the past and present of Settler colonialism. Our hope is that academic inquiry and praxis-based pedagogy can enable a vision of the future that involves understanding and the restitution </w:t>
      </w:r>
      <w:r>
        <w:rPr>
          <w:b/>
        </w:rPr>
        <w:t>of Indigenous territories</w:t>
      </w:r>
      <w:r>
        <w:t>.</w:t>
      </w:r>
    </w:p>
    <w:p w14:paraId="3A6F5C5A" w14:textId="77777777" w:rsidR="00076776" w:rsidRDefault="00076776"/>
    <w:p w14:paraId="5D36B6B2" w14:textId="77777777" w:rsidR="00076776" w:rsidRDefault="00000000">
      <w:pPr>
        <w:pStyle w:val="Heading1"/>
      </w:pPr>
      <w:bookmarkStart w:id="38" w:name="_heading=h.41mghml" w:colFirst="0" w:colLast="0"/>
      <w:bookmarkEnd w:id="38"/>
      <w:r>
        <w:t xml:space="preserve">(2015) Rose-Redwood, “Introduction: The Limits to Deconstructing the Map” </w:t>
      </w:r>
    </w:p>
    <w:p w14:paraId="170BA7E1" w14:textId="77777777" w:rsidR="00076776" w:rsidRDefault="00000000">
      <w:r>
        <w:t xml:space="preserve">From the introduction to the special issue of </w:t>
      </w:r>
      <w:proofErr w:type="spellStart"/>
      <w:r>
        <w:rPr>
          <w:i/>
        </w:rPr>
        <w:t>Cartographica</w:t>
      </w:r>
      <w:proofErr w:type="spellEnd"/>
      <w:r>
        <w:t xml:space="preserve">: Deconstructing the Map: 25 Years On </w:t>
      </w:r>
    </w:p>
    <w:p w14:paraId="353414B7" w14:textId="77777777" w:rsidR="00076776" w:rsidRDefault="00076776"/>
    <w:p w14:paraId="2A0B903E" w14:textId="77777777" w:rsidR="00076776" w:rsidRDefault="00000000">
      <w:pPr>
        <w:pStyle w:val="Heading2"/>
      </w:pPr>
      <w:r>
        <w:t>Abstract</w:t>
      </w:r>
    </w:p>
    <w:p w14:paraId="18A9533F" w14:textId="77777777" w:rsidR="00076776" w:rsidRDefault="00000000">
      <w:r>
        <w:t xml:space="preserve">An analysis of Harley’s arguments: their shortcomings, insights, and </w:t>
      </w:r>
      <w:proofErr w:type="gramStart"/>
      <w:r>
        <w:t>staying-power</w:t>
      </w:r>
      <w:proofErr w:type="gramEnd"/>
      <w:r>
        <w:t xml:space="preserve"> in current cartographic scholarship. </w:t>
      </w:r>
    </w:p>
    <w:p w14:paraId="32EB5E9F" w14:textId="77777777" w:rsidR="00076776" w:rsidRDefault="00076776"/>
    <w:p w14:paraId="0A99BF39" w14:textId="77777777" w:rsidR="00076776" w:rsidRDefault="00000000">
      <w:pPr>
        <w:pStyle w:val="Heading2"/>
      </w:pPr>
      <w:r>
        <w:t>Key words</w:t>
      </w:r>
    </w:p>
    <w:p w14:paraId="4749AFCB" w14:textId="77777777" w:rsidR="00076776" w:rsidRDefault="00000000">
      <w:r>
        <w:t xml:space="preserve">maps, cartographic theory, performance, text, toponymic colonialism </w:t>
      </w:r>
    </w:p>
    <w:p w14:paraId="70E9E086" w14:textId="77777777" w:rsidR="00076776" w:rsidRDefault="00076776"/>
    <w:p w14:paraId="57577674" w14:textId="77777777" w:rsidR="00076776" w:rsidRDefault="00000000">
      <w:pPr>
        <w:pStyle w:val="Heading2"/>
      </w:pPr>
      <w:r>
        <w:t>Essential quote</w:t>
      </w:r>
    </w:p>
    <w:p w14:paraId="5168310F" w14:textId="77777777" w:rsidR="00076776" w:rsidRDefault="00000000">
      <w:r>
        <w:t>2: Twenty-five years on, Harley’s radical critique seems to have acquired all the trappings of a new traditionalism, which has been consolidated through the rituals of citational practice and reputational prestige.</w:t>
      </w:r>
    </w:p>
    <w:p w14:paraId="252EDC06" w14:textId="77777777" w:rsidR="00076776" w:rsidRDefault="00076776"/>
    <w:p w14:paraId="11BBA847" w14:textId="77777777" w:rsidR="00076776" w:rsidRDefault="00000000">
      <w:pPr>
        <w:pStyle w:val="Heading2"/>
      </w:pPr>
      <w:r>
        <w:t>Terms</w:t>
      </w:r>
    </w:p>
    <w:p w14:paraId="673353F4" w14:textId="77777777" w:rsidR="00076776" w:rsidRDefault="00000000">
      <w:r>
        <w:t xml:space="preserve">2: </w:t>
      </w:r>
      <w:r>
        <w:rPr>
          <w:b/>
        </w:rPr>
        <w:t>toponymic colonialism</w:t>
      </w:r>
      <w:r>
        <w:t>: “… the ways in which colonial mapping was implicated in the erasure of indigenous place names….”</w:t>
      </w:r>
    </w:p>
    <w:p w14:paraId="37289F44" w14:textId="77777777" w:rsidR="00076776" w:rsidRDefault="00000000">
      <w:r>
        <w:lastRenderedPageBreak/>
        <w:t xml:space="preserve">4. </w:t>
      </w:r>
      <w:r>
        <w:rPr>
          <w:b/>
        </w:rPr>
        <w:t>cultural texts</w:t>
      </w:r>
      <w:r>
        <w:t xml:space="preserve">: what Harley declared maps to be in the late 1980s. </w:t>
      </w:r>
    </w:p>
    <w:p w14:paraId="2C72D590" w14:textId="77777777" w:rsidR="00076776" w:rsidRDefault="00000000">
      <w:r>
        <w:t xml:space="preserve">4: </w:t>
      </w:r>
      <w:r>
        <w:rPr>
          <w:b/>
        </w:rPr>
        <w:t>cartographic textualism</w:t>
      </w:r>
      <w:r>
        <w:t xml:space="preserve">: the work to “uncovering the meaning of maps” by treating them as texts, and therefore subjects for textual analysis. </w:t>
      </w:r>
    </w:p>
    <w:p w14:paraId="4C77B154" w14:textId="77777777" w:rsidR="00076776" w:rsidRDefault="00000000">
      <w:r>
        <w:t xml:space="preserve">4: </w:t>
      </w:r>
      <w:r>
        <w:rPr>
          <w:b/>
        </w:rPr>
        <w:t>spatial panopticon</w:t>
      </w:r>
      <w:r>
        <w:t>: maps as spatial panopticon “through which ‘[t]</w:t>
      </w:r>
      <w:proofErr w:type="gramStart"/>
      <w:r>
        <w:t>he</w:t>
      </w:r>
      <w:proofErr w:type="gramEnd"/>
      <w:r>
        <w:t xml:space="preserve"> world is disciplined. The world is normalized. We are prisoners in its spatial matrix’ (1989, 13).”</w:t>
      </w:r>
    </w:p>
    <w:p w14:paraId="26DAD050" w14:textId="77777777" w:rsidR="00076776" w:rsidRDefault="00076776"/>
    <w:p w14:paraId="33765D03" w14:textId="77777777" w:rsidR="00076776" w:rsidRDefault="00000000">
      <w:pPr>
        <w:pStyle w:val="Heading2"/>
      </w:pPr>
      <w:r>
        <w:t>Core quotes</w:t>
      </w:r>
    </w:p>
    <w:p w14:paraId="5EDB0EA9" w14:textId="77777777" w:rsidR="00076776" w:rsidRDefault="00000000">
      <w:r>
        <w:t>2 @Arg@Acad@Map</w:t>
      </w:r>
    </w:p>
    <w:p w14:paraId="14CE49AE" w14:textId="77777777" w:rsidR="00076776" w:rsidRDefault="00000000">
      <w:pPr>
        <w:ind w:left="720"/>
      </w:pPr>
      <w:r>
        <w:t xml:space="preserve">Twenty-five years on, Harley’s radical critique seems to have acquired all the trappings of a new traditionalism, which has been consolidated through the rituals of citational practice and reputational prestige. How, then, might we continue to draw inspiration from the radical ‘‘spirit’’ (Edney 2005, 78) of Harley’s work even as we ‘‘challenge the limits that this heritage has imposed up to now’’ (Derrida and </w:t>
      </w:r>
      <w:proofErr w:type="spellStart"/>
      <w:r>
        <w:t>Roudinesco</w:t>
      </w:r>
      <w:proofErr w:type="spellEnd"/>
      <w:r>
        <w:t xml:space="preserve"> 2004, 19)?</w:t>
      </w:r>
    </w:p>
    <w:p w14:paraId="48ED5B59" w14:textId="77777777" w:rsidR="00076776" w:rsidRDefault="00076776"/>
    <w:p w14:paraId="54D63594" w14:textId="77777777" w:rsidR="00076776" w:rsidRDefault="00000000">
      <w:r>
        <w:t>@NeolCol@Map@Topo@Ethics@IKSG@DECOL</w:t>
      </w:r>
    </w:p>
    <w:p w14:paraId="38D25D36" w14:textId="77777777" w:rsidR="00076776" w:rsidRDefault="00000000">
      <w:pPr>
        <w:ind w:left="720"/>
      </w:pPr>
      <w:r>
        <w:t>Harley sought to investigate a broad range of questions concerning the social and political contexts of maps. Among other topics, his work explored the role of mapping as a political technology of imperialism and nation-building; cartographic secrecy, censorship, and silences; patronage and the history of geographical atlases; ‘‘</w:t>
      </w:r>
      <w:r>
        <w:rPr>
          <w:b/>
        </w:rPr>
        <w:t>toponymic colonialism</w:t>
      </w:r>
      <w:r>
        <w:t>’’ and the ways in which colonial mapping was implicated in the erasure of indigenous place names; and the possibility of developing a cartographic ethics committed to ‘‘a socially responsible representation of the world’’ (Harley 2001, 181, 199).</w:t>
      </w:r>
    </w:p>
    <w:p w14:paraId="794EB06A" w14:textId="77777777" w:rsidR="00076776" w:rsidRDefault="00076776"/>
    <w:p w14:paraId="5AD2BD81" w14:textId="77777777" w:rsidR="00076776" w:rsidRDefault="00000000">
      <w:r>
        <w:t>@Map@Rhet@Reason@Arg</w:t>
      </w:r>
    </w:p>
    <w:p w14:paraId="61BCE663" w14:textId="77777777" w:rsidR="00076776" w:rsidRDefault="00000000">
      <w:pPr>
        <w:ind w:left="720"/>
      </w:pPr>
      <w:r>
        <w:t>His main assertion was that all maps are ‘‘rhetorical texts,’’ which refers to the claim that every map draws on ‘‘common devices of rhetoric such as invocations of authority (especially in ‘scientific’ maps) and appeals to a potential readership through the use of colours, decoration, typography, dedications, or written justifications of their method’’ (11). Some rhetorical devices have become so naturalized as part of the taken-for-granted order of cartography that they have acquired the appearance of value-free and objective standards of cartographic ‘‘truth,’’ against which the ‘‘rhetoric’’ of propaganda maps is to be measured.</w:t>
      </w:r>
    </w:p>
    <w:p w14:paraId="26DF4CB7" w14:textId="77777777" w:rsidR="00076776" w:rsidRDefault="00076776"/>
    <w:p w14:paraId="5F8EDFC5" w14:textId="77777777" w:rsidR="00076776" w:rsidRDefault="00000000">
      <w:r>
        <w:t>3 @CounterArg</w:t>
      </w:r>
    </w:p>
    <w:p w14:paraId="072B79DD" w14:textId="77777777" w:rsidR="00076776" w:rsidRDefault="00000000">
      <w:pPr>
        <w:ind w:left="720"/>
      </w:pPr>
      <w:r>
        <w:t>It was precisely here – on the apparently firmer ground of the matter of power – that Harley’s account took a dramatic U-turn back into the thickets of dualistic thinking from which he had hoped to extricate himself.</w:t>
      </w:r>
    </w:p>
    <w:p w14:paraId="29EEB8FA" w14:textId="77777777" w:rsidR="00076776" w:rsidRDefault="00076776">
      <w:pPr>
        <w:ind w:left="720"/>
      </w:pPr>
    </w:p>
    <w:p w14:paraId="463B104F" w14:textId="77777777" w:rsidR="00076776" w:rsidRDefault="00000000">
      <w:r>
        <w:t xml:space="preserve">From here, R-R goes on to show the misreading Harley made of </w:t>
      </w:r>
      <w:r>
        <w:rPr>
          <w:highlight w:val="magenta"/>
        </w:rPr>
        <w:t>Foucault</w:t>
      </w:r>
      <w:r>
        <w:t xml:space="preserve">’s notions of </w:t>
      </w:r>
    </w:p>
    <w:p w14:paraId="62ED7718" w14:textId="77777777" w:rsidR="00076776" w:rsidRDefault="00076776"/>
    <w:p w14:paraId="4AFED019" w14:textId="77777777" w:rsidR="00076776" w:rsidRDefault="00000000">
      <w:pPr>
        <w:ind w:left="720"/>
      </w:pPr>
      <w:r>
        <w:t xml:space="preserve">… this internal/external distinction is antithetical to Foucault’s own conception of power/knowledge, but what is even more perplexing is that Rouse </w:t>
      </w:r>
      <w:proofErr w:type="gramStart"/>
      <w:r>
        <w:t>actually called</w:t>
      </w:r>
      <w:proofErr w:type="gramEnd"/>
      <w:r>
        <w:t xml:space="preserve"> the ‘‘internal’’ and ‘‘external’’ history of science into question in the opening chapter of his book…</w:t>
      </w:r>
    </w:p>
    <w:p w14:paraId="2C823D01" w14:textId="77777777" w:rsidR="00076776" w:rsidRDefault="00076776">
      <w:pPr>
        <w:ind w:left="720"/>
      </w:pPr>
    </w:p>
    <w:p w14:paraId="1B6B14C0" w14:textId="77777777" w:rsidR="00076776" w:rsidRDefault="00000000">
      <w:r>
        <w:lastRenderedPageBreak/>
        <w:t xml:space="preserve">R-R then emphasizes Rouse’s position through a direct quote: </w:t>
      </w:r>
    </w:p>
    <w:p w14:paraId="7607C4DE" w14:textId="77777777" w:rsidR="00076776" w:rsidRDefault="00076776"/>
    <w:p w14:paraId="23185E8E" w14:textId="77777777" w:rsidR="00076776" w:rsidRDefault="00000000">
      <w:pPr>
        <w:ind w:left="720"/>
      </w:pPr>
      <w:r>
        <w:t xml:space="preserve">[. . .] </w:t>
      </w:r>
      <w:r>
        <w:rPr>
          <w:i/>
        </w:rPr>
        <w:t>The central thesis of this book is that the preceding account of the relations between political power and scientific knowledge is seriously misleading</w:t>
      </w:r>
      <w:r>
        <w:t>. (Rouse 1987, 17, emphasis added)</w:t>
      </w:r>
    </w:p>
    <w:p w14:paraId="78F02242" w14:textId="77777777" w:rsidR="00076776" w:rsidRDefault="00076776"/>
    <w:p w14:paraId="2F5F326B" w14:textId="77777777" w:rsidR="00076776" w:rsidRDefault="00000000">
      <w:pPr>
        <w:ind w:left="720"/>
      </w:pPr>
      <w:r>
        <w:t xml:space="preserve">[…] </w:t>
      </w:r>
      <w:r>
        <w:rPr>
          <w:highlight w:val="magenta"/>
        </w:rPr>
        <w:t>Rouse</w:t>
      </w:r>
      <w:r>
        <w:t xml:space="preserve"> drew on Bruno </w:t>
      </w:r>
      <w:r>
        <w:rPr>
          <w:highlight w:val="magenta"/>
        </w:rPr>
        <w:t>Latour</w:t>
      </w:r>
      <w:r>
        <w:t>’s (1983) early work to argue that it was unhelpful to posit a strict division between the power of science ‘‘inside’’ the laboratory and the power relations in the world beyond the laboratory’s walls, because ‘‘the tactics for construction, manipulation, and control of phenomena within the laboratory must be seen as part of a network of power relations running throughout modern societies’’ (Rouse 1987, 212). In other words, Rouse was advocating for what we would now recognize as an actor-network theory approach to understanding the relations between scientific knowledge and power, which emphasizes the ways in which the so-called outside world has increasingly come to resemble the laboratory as scientific practices have been ‘‘a powerful force in remaking the world’’ (226).</w:t>
      </w:r>
    </w:p>
    <w:p w14:paraId="721DF0AF" w14:textId="77777777" w:rsidR="00076776" w:rsidRDefault="00076776"/>
    <w:p w14:paraId="01A76429" w14:textId="77777777" w:rsidR="00076776" w:rsidRDefault="00000000">
      <w:r>
        <w:t>4 @CounterArg@Acad</w:t>
      </w:r>
    </w:p>
    <w:p w14:paraId="0DBA32AB" w14:textId="77777777" w:rsidR="00076776" w:rsidRDefault="00000000">
      <w:pPr>
        <w:ind w:left="720"/>
      </w:pPr>
      <w:r>
        <w:t>… Harley’s appropriation of Foucault’s work had much in common with the dominant portrayal of Foucault by many scholars writing in the 1980s, which largely reduced the latter to a theorist of social control, disciplinary power, and surveillance. Therefore, one of Harley’s primary claims – that the map is a ‘‘</w:t>
      </w:r>
      <w:r>
        <w:rPr>
          <w:b/>
        </w:rPr>
        <w:t>spatial panopticon</w:t>
      </w:r>
      <w:r>
        <w:t>’’ through which ‘‘[t]</w:t>
      </w:r>
      <w:proofErr w:type="gramStart"/>
      <w:r>
        <w:t>he</w:t>
      </w:r>
      <w:proofErr w:type="gramEnd"/>
      <w:r>
        <w:t xml:space="preserve"> world is disciplined. The world is normalized. We are prisoners in its spatial matrix’’ (1989, 13) – is perfectly consistent with how Foucault was characterized (caricatured?) by other commentators in the 1980s as well.”</w:t>
      </w:r>
    </w:p>
    <w:p w14:paraId="3B367F52" w14:textId="77777777" w:rsidR="00076776" w:rsidRDefault="00076776"/>
    <w:p w14:paraId="34BF50C8" w14:textId="77777777" w:rsidR="00076776" w:rsidRDefault="00000000">
      <w:r>
        <w:t>@Intertext@Textual@Map@Rhet</w:t>
      </w:r>
    </w:p>
    <w:p w14:paraId="2A8ADEAD" w14:textId="77777777" w:rsidR="00076776" w:rsidRDefault="00000000">
      <w:pPr>
        <w:ind w:left="720"/>
      </w:pPr>
      <w:r>
        <w:t xml:space="preserve">Harley himself had raised concerns over the perceived excesses of </w:t>
      </w:r>
      <w:r>
        <w:rPr>
          <w:b/>
        </w:rPr>
        <w:t>textualism</w:t>
      </w:r>
      <w:r>
        <w:t xml:space="preserve"> in his reading of Derrida’s (1976, 158) notion that ‘‘[t]here is nothing outside of the text.’’ For Harley, there was most certainly an ‘‘outside’’ to the cartographic text, since every map was a result of the sociopolitical practices and material conditions that led to its production. … Harley was more concerned with </w:t>
      </w:r>
      <w:r>
        <w:rPr>
          <w:b/>
          <w:i/>
        </w:rPr>
        <w:t>demythologizing</w:t>
      </w:r>
      <w:r>
        <w:t xml:space="preserve"> map-making through ideology critique and a hermeneutics of suspicion than he was with deconstructing the map as a rhetorical device or discursive formation (Sparke 1995, 2011).</w:t>
      </w:r>
    </w:p>
    <w:p w14:paraId="2C8D5A68" w14:textId="77777777" w:rsidR="00076776" w:rsidRDefault="00076776"/>
    <w:p w14:paraId="45D20D2A" w14:textId="77777777" w:rsidR="00076776" w:rsidRDefault="00000000">
      <w:r>
        <w:t>@Arg@Acad@Reason@Ontol@Perf</w:t>
      </w:r>
    </w:p>
    <w:p w14:paraId="264FE5BE" w14:textId="77777777" w:rsidR="00076776" w:rsidRDefault="00000000">
      <w:r>
        <w:t xml:space="preserve">R-R argues for “performative practice” in map analysis: </w:t>
      </w:r>
    </w:p>
    <w:p w14:paraId="622D6990" w14:textId="77777777" w:rsidR="00076776" w:rsidRDefault="00076776"/>
    <w:p w14:paraId="0337945B" w14:textId="77777777" w:rsidR="00076776" w:rsidRDefault="00000000">
      <w:pPr>
        <w:ind w:left="720"/>
      </w:pPr>
      <w:r>
        <w:t xml:space="preserve">Over the past decade or so, Harley’s approach to cartographic textualism – particularly his search for uncovering the meaning of maps – has been eclipsed by yet another rhetorical shift in metaphors, from viewing maps as texts to an account of mapping as a set of performative practices. This call to rethink maps is part of a broader performative turn in the social sciences and humanities, which challenges the </w:t>
      </w:r>
      <w:proofErr w:type="spellStart"/>
      <w:r>
        <w:rPr>
          <w:b/>
        </w:rPr>
        <w:t>representationalist</w:t>
      </w:r>
      <w:proofErr w:type="spellEnd"/>
      <w:r>
        <w:rPr>
          <w:b/>
        </w:rPr>
        <w:t xml:space="preserve"> logic</w:t>
      </w:r>
      <w:r>
        <w:t xml:space="preserve"> informing both realist and social constructivist epistemologies (Rose-Redwood and Glass 2014). Among critical cartographers, this has led to a re-evaluation of the ontological (in)security of maps and an emphasis on the reiterative practices through which mappings </w:t>
      </w:r>
      <w:r>
        <w:lastRenderedPageBreak/>
        <w:t xml:space="preserve">are reconstituted, since </w:t>
      </w:r>
      <w:r>
        <w:rPr>
          <w:b/>
        </w:rPr>
        <w:t>‘‘maps are constantly in a state of becoming; constantly being remade</w:t>
      </w:r>
      <w:r>
        <w:t>’’ (Kitchin and Dodge 2007, 335; also see Del Casino and Hanna 2006; Harris and Harrower 2006).</w:t>
      </w:r>
    </w:p>
    <w:p w14:paraId="06430EC6" w14:textId="77777777" w:rsidR="00076776" w:rsidRDefault="00076776"/>
    <w:p w14:paraId="559A7FBF" w14:textId="77777777" w:rsidR="00076776" w:rsidRDefault="00000000">
      <w:r>
        <w:rPr>
          <w:highlight w:val="green"/>
        </w:rPr>
        <w:t>4-5</w:t>
      </w:r>
      <w:r>
        <w:t xml:space="preserve"> @Map@Perf@Textual</w:t>
      </w:r>
    </w:p>
    <w:p w14:paraId="2323AD9B" w14:textId="77777777" w:rsidR="00076776" w:rsidRDefault="00076776"/>
    <w:p w14:paraId="2AC7E2BC" w14:textId="77777777" w:rsidR="00076776" w:rsidRDefault="00000000">
      <w:pPr>
        <w:ind w:left="720"/>
      </w:pPr>
      <w:r>
        <w:t>Harley had also urged historians of cartography to examine ‘‘</w:t>
      </w:r>
      <w:r>
        <w:rPr>
          <w:b/>
        </w:rPr>
        <w:t>maps as actions rather than as impassive descriptions</w:t>
      </w:r>
      <w:r>
        <w:t xml:space="preserve">’’ with the broader aim of uncovering </w:t>
      </w:r>
      <w:r>
        <w:rPr>
          <w:b/>
        </w:rPr>
        <w:t>the ‘‘truth effects’’ of map-making</w:t>
      </w:r>
      <w:r>
        <w:t xml:space="preserve"> (2001, 107, original emphasis). In this regard, one could argue that a potential opening towards a more performative reading of mapping can be found in Harley’s textualist approach to the history of cartography. His </w:t>
      </w:r>
      <w:proofErr w:type="gramStart"/>
      <w:r>
        <w:t>ultimate goal</w:t>
      </w:r>
      <w:proofErr w:type="gramEnd"/>
      <w:r>
        <w:t>, however, was to discover the true nature of the ‘‘power embedded in the map text’’ (Harley 1989, 13).</w:t>
      </w:r>
    </w:p>
    <w:p w14:paraId="51520E74" w14:textId="77777777" w:rsidR="00076776" w:rsidRDefault="00076776"/>
    <w:p w14:paraId="54014EE8" w14:textId="77777777" w:rsidR="00076776" w:rsidRDefault="00000000">
      <w:r>
        <w:rPr>
          <w:highlight w:val="green"/>
        </w:rPr>
        <w:t>5</w:t>
      </w:r>
      <w:r>
        <w:t xml:space="preserve"> @Arg@Map@Pow@Perf</w:t>
      </w:r>
    </w:p>
    <w:p w14:paraId="513D0128" w14:textId="77777777" w:rsidR="00076776" w:rsidRDefault="00000000">
      <w:r>
        <w:t xml:space="preserve">R-R asks to remember that maps are iterative: </w:t>
      </w:r>
    </w:p>
    <w:p w14:paraId="2C62446F" w14:textId="77777777" w:rsidR="00076776" w:rsidRDefault="00076776"/>
    <w:p w14:paraId="50E81530" w14:textId="77777777" w:rsidR="00076776" w:rsidRDefault="00000000">
      <w:pPr>
        <w:ind w:left="720"/>
      </w:pPr>
      <w:r>
        <w:t xml:space="preserve">In ‘‘Deconstructing the Map,’’ Harley portrayed maps as seemingly all-powerful ‘‘authoritarian images’’ in which power and authority are embedded and embodied to ‘‘reinforce the status quo’’ (1989, 14). But even if the power of the map were omnipresent, as Harley claimed, so too is cartographic power limited by the specificities and contingencies that constitute its entanglements with the ‘‘world.’’ </w:t>
      </w:r>
      <w:r>
        <w:rPr>
          <w:b/>
        </w:rPr>
        <w:t>We must therefore be cautious not to conflate the mappings of power with the powers of mapping, nor should we forget that the spaces of cartographic power are ‘‘always on the verge of disintegration and dissolution, even during the very moments at which they seem the most stable and indestructible’’</w:t>
      </w:r>
      <w:r>
        <w:t xml:space="preserve"> (Glass and Rose-Redwood 2014, 254). It is worth recalling that when Foucault (1978, 93) referred to the ‘‘omnipresence of power,’’ he did not view such a power as having ‘‘the privilege of consolidating everything under its invincible unity’’ but rather as being something fragile, fleeting, and contingent that must be produced and reproduced ‘‘from one moment to the next.’’</w:t>
      </w:r>
    </w:p>
    <w:p w14:paraId="7281BB7C" w14:textId="77777777" w:rsidR="00076776" w:rsidRDefault="00076776">
      <w:pPr>
        <w:ind w:left="720"/>
      </w:pPr>
    </w:p>
    <w:p w14:paraId="76027735" w14:textId="77777777" w:rsidR="00076776" w:rsidRDefault="00000000">
      <w:pPr>
        <w:pStyle w:val="Heading2"/>
      </w:pPr>
      <w:r>
        <w:t>Secondary quotes</w:t>
      </w:r>
    </w:p>
    <w:p w14:paraId="57A43380" w14:textId="77777777" w:rsidR="00076776" w:rsidRDefault="00000000">
      <w:r>
        <w:t xml:space="preserve">2 “He sought to achieve this goal by viewing </w:t>
      </w:r>
      <w:r>
        <w:rPr>
          <w:b/>
        </w:rPr>
        <w:t xml:space="preserve">maps not as mirrors of nature but rather as cultural texts </w:t>
      </w:r>
      <w:r>
        <w:t xml:space="preserve">whose rhetoricity could be decoded using the strategies and tactics of Jacques Derrida’s (1976) deconstructionism combined with Michel Foucault’s (1973, 1978, 1980) conception of discourse to examine ‘‘how maps work in society as a form of power/knowledge’’ (Harley 1989, 3).” / 2 History of Harley’s academic career and how he arrived at his famous essay / Great summary of Harley’s argument-structure in right column / 4 “… his misreading of Foucault’s notion of power/knowledge owing to his overreliance on secondary-source commentaries, to the neglect of the primary texts themselves (Belyea 1992).” / On H’s citation power: “All of this notwithstanding, what is remarkable in retrospect is just how productive Harley’s appropriations of social theory have been over the past two and a half decades. With over </w:t>
      </w:r>
      <w:r>
        <w:rPr>
          <w:b/>
        </w:rPr>
        <w:t>1200 citations and counting</w:t>
      </w:r>
      <w:r>
        <w:t xml:space="preserve">, ‘‘Deconstructing the Map’’ is </w:t>
      </w:r>
      <w:r>
        <w:rPr>
          <w:b/>
        </w:rPr>
        <w:t xml:space="preserve">one of the most-cited articles in </w:t>
      </w:r>
      <w:proofErr w:type="spellStart"/>
      <w:r>
        <w:rPr>
          <w:b/>
        </w:rPr>
        <w:t>Cartographica</w:t>
      </w:r>
      <w:proofErr w:type="spellEnd"/>
      <w:r>
        <w:t xml:space="preserve">,[2] and one of its primary effects has been to call attention to the relations of power that shape, and are shaped by, mapping practices, both historically and in the present. This alone is a significant achievement, even if Harley’s specific interpretations of rhetoricity, </w:t>
      </w:r>
      <w:r>
        <w:lastRenderedPageBreak/>
        <w:t xml:space="preserve">discourse, or power do not withstand critical scrutiny.” / Page 5 onward, R-R talks about the essays in the anthology. </w:t>
      </w:r>
    </w:p>
    <w:p w14:paraId="51588A18" w14:textId="77777777" w:rsidR="00076776" w:rsidRDefault="00076776"/>
    <w:p w14:paraId="4CB69754" w14:textId="77777777" w:rsidR="00076776" w:rsidRDefault="00000000">
      <w:pPr>
        <w:pStyle w:val="Heading2"/>
      </w:pPr>
      <w:r>
        <w:t>Notes</w:t>
      </w:r>
    </w:p>
    <w:p w14:paraId="13D85ED7" w14:textId="77777777" w:rsidR="00076776" w:rsidRDefault="00000000">
      <w:r>
        <w:t xml:space="preserve">This piece bounced me to John Pickles’s </w:t>
      </w:r>
      <w:hyperlink r:id="rId34">
        <w:r w:rsidR="00076776">
          <w:rPr>
            <w:i/>
            <w:color w:val="0563C1"/>
            <w:u w:val="single"/>
          </w:rPr>
          <w:t>A History of Spaces: Cartographic Reason, Mapping and the Geo-Coded World</w:t>
        </w:r>
      </w:hyperlink>
      <w:r>
        <w:t xml:space="preserve"> (2003). </w:t>
      </w:r>
    </w:p>
    <w:p w14:paraId="6EBB121A" w14:textId="77777777" w:rsidR="00076776" w:rsidRDefault="00076776"/>
    <w:p w14:paraId="19B271E6" w14:textId="77777777" w:rsidR="00076776" w:rsidRDefault="00000000">
      <w:pPr>
        <w:pStyle w:val="Heading1"/>
      </w:pPr>
      <w:bookmarkStart w:id="39" w:name="_heading=h.2grqrue" w:colFirst="0" w:colLast="0"/>
      <w:bookmarkEnd w:id="39"/>
      <w:r>
        <w:t>*(2015) Rose-Redwood &amp; Tucker, “Decolonizing the Map? Toponymic Politics and the Rescaling of the Salish Sea”</w:t>
      </w:r>
    </w:p>
    <w:p w14:paraId="6DC8412B" w14:textId="77777777" w:rsidR="00076776" w:rsidRDefault="00076776"/>
    <w:p w14:paraId="36790CCD" w14:textId="77777777" w:rsidR="00076776" w:rsidRDefault="00000000">
      <w:pPr>
        <w:pStyle w:val="Heading2"/>
      </w:pPr>
      <w:r>
        <w:t>Abstract</w:t>
      </w:r>
    </w:p>
    <w:p w14:paraId="5CECE9D1" w14:textId="77777777" w:rsidR="00076776" w:rsidRDefault="00000000">
      <w:r>
        <w:t xml:space="preserve">Examines the ways in which the name “Salish Sea” has, over years, created a kind of spatial synecdoche from, among other elements, the “performative reiteration of citational practices” (194). </w:t>
      </w:r>
    </w:p>
    <w:p w14:paraId="07D2CC7F" w14:textId="77777777" w:rsidR="00076776" w:rsidRDefault="00076776"/>
    <w:p w14:paraId="3CFBE83F" w14:textId="77777777" w:rsidR="00076776" w:rsidRDefault="00000000">
      <w:pPr>
        <w:pStyle w:val="Heading2"/>
      </w:pPr>
      <w:r>
        <w:t>Key words</w:t>
      </w:r>
    </w:p>
    <w:p w14:paraId="27099700" w14:textId="77777777" w:rsidR="00076776" w:rsidRDefault="00000000">
      <w:r>
        <w:t xml:space="preserve">toponyms, Salish Sea, Indigenous rights and histories, neocolonialism, socio-spatial dispossession, decolonization, performativity, scale  </w:t>
      </w:r>
    </w:p>
    <w:p w14:paraId="35F293DF" w14:textId="77777777" w:rsidR="00076776" w:rsidRDefault="00076776"/>
    <w:p w14:paraId="361FA6AE" w14:textId="77777777" w:rsidR="00076776" w:rsidRDefault="00000000">
      <w:pPr>
        <w:pStyle w:val="Heading2"/>
      </w:pPr>
      <w:r>
        <w:t>Essential quote</w:t>
      </w:r>
    </w:p>
    <w:p w14:paraId="774A44CA" w14:textId="77777777" w:rsidR="00076776" w:rsidRDefault="00000000">
      <w:r>
        <w:t xml:space="preserve">196: … given that the term “Salish” is a direct reference to the Indigenous peoples who have inhabited these lands and travelled these waters since time immemorial, it is critical to consider the extent to which this act of place naming can be seen as another step toward “decolonizing the map” (Huggan 1989) </w:t>
      </w:r>
      <w:r>
        <w:rPr>
          <w:i/>
        </w:rPr>
        <w:t>or</w:t>
      </w:r>
      <w:r>
        <w:t xml:space="preserve"> whether it reinforces neocolonial relations of socio-spatial dispossession by further normalizing the authority of the state in the “colonial present” (Gregory 2004).</w:t>
      </w:r>
    </w:p>
    <w:p w14:paraId="773DE294" w14:textId="77777777" w:rsidR="00076776" w:rsidRDefault="00076776"/>
    <w:p w14:paraId="1C2A48DF" w14:textId="77777777" w:rsidR="00076776" w:rsidRDefault="00000000">
      <w:pPr>
        <w:pStyle w:val="Heading2"/>
      </w:pPr>
      <w:r>
        <w:t>Terms</w:t>
      </w:r>
    </w:p>
    <w:p w14:paraId="1D3A454B"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194: </w:t>
      </w:r>
      <w:r>
        <w:rPr>
          <w:b/>
        </w:rPr>
        <w:t>socio-spatial dispossession</w:t>
      </w:r>
      <w:r>
        <w:t>: as regards toponyms and maps, the ways in which settlers continue to undermine Indigenous self-determination by “further entrenching the powers of the state as the final arbiter of geographical naming conventions.”</w:t>
      </w:r>
    </w:p>
    <w:p w14:paraId="5F80FD26"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194: </w:t>
      </w:r>
      <w:r>
        <w:rPr>
          <w:b/>
        </w:rPr>
        <w:t>strategic essentialism</w:t>
      </w:r>
      <w:r>
        <w:t xml:space="preserve">: Useful term to describe the settler move to consolidate multiple “micro-toponyms (see below) into a “region,” as in Norman’s assertion that the “Indigenous appropriation of the term ‘Coast Salish’ as a significant case of ‘strategic essentialism’ (2012, 145).” Source: Norman, E. 2012. “Cultural politics and transboundary resource governance in the Salish Sea.” </w:t>
      </w:r>
      <w:r>
        <w:rPr>
          <w:i/>
        </w:rPr>
        <w:t>Water Alternatives</w:t>
      </w:r>
      <w:r>
        <w:t xml:space="preserve"> 5(1): 138–160.</w:t>
      </w:r>
    </w:p>
    <w:p w14:paraId="727C8FC4" w14:textId="77777777" w:rsidR="00076776" w:rsidRDefault="00000000">
      <w:r>
        <w:t xml:space="preserve">196: </w:t>
      </w:r>
      <w:r>
        <w:rPr>
          <w:b/>
        </w:rPr>
        <w:t>bioregionalism</w:t>
      </w:r>
      <w:r>
        <w:t xml:space="preserve">: “‘bioregionalism’ advocates that social, cultural, and political boundaries should be aligned with the supposed ‘natural’ boundaries of ecological systems (Parsons 1985; </w:t>
      </w:r>
      <w:proofErr w:type="spellStart"/>
      <w:r>
        <w:t>McTacgart</w:t>
      </w:r>
      <w:proofErr w:type="spellEnd"/>
      <w:r>
        <w:t xml:space="preserve"> 1993; Frenkel 1994; McGinnis 1999).”</w:t>
      </w:r>
    </w:p>
    <w:p w14:paraId="2FA440CC" w14:textId="77777777" w:rsidR="00076776" w:rsidRDefault="00000000">
      <w:r>
        <w:rPr>
          <w:highlight w:val="green"/>
        </w:rPr>
        <w:lastRenderedPageBreak/>
        <w:t>196</w:t>
      </w:r>
      <w:r>
        <w:t xml:space="preserve">: </w:t>
      </w:r>
      <w:r>
        <w:rPr>
          <w:b/>
        </w:rPr>
        <w:t>landscape-as-text</w:t>
      </w:r>
      <w:r>
        <w:t>: “the study of place naming, or toponymy, has adopted a semiotic approach that situates the practices of toponymic inscription within a theorization of the landscape-as-text.”</w:t>
      </w:r>
    </w:p>
    <w:p w14:paraId="4B56AFD8" w14:textId="77777777" w:rsidR="00076776" w:rsidRDefault="00000000">
      <w:r>
        <w:rPr>
          <w:highlight w:val="green"/>
        </w:rPr>
        <w:t>196</w:t>
      </w:r>
      <w:r>
        <w:t xml:space="preserve">: [@WIAM] </w:t>
      </w:r>
      <w:r>
        <w:rPr>
          <w:b/>
        </w:rPr>
        <w:t>toponymic rescaling</w:t>
      </w:r>
      <w:r>
        <w:t>: “… refers to the process whereby the act of naming is one of the primary place-making strategies used to reconstitute the scalar delimitation of geographical spaces.</w:t>
      </w:r>
    </w:p>
    <w:p w14:paraId="57A4D439" w14:textId="77777777" w:rsidR="00076776" w:rsidRDefault="00000000">
      <w:r>
        <w:t xml:space="preserve">197: </w:t>
      </w:r>
      <w:r>
        <w:rPr>
          <w:b/>
        </w:rPr>
        <w:t>semiotics</w:t>
      </w:r>
      <w:r>
        <w:t xml:space="preserve"> (in the landscape context): “… conceives of the landscape as a spatial text composed of a ‘semiotic structure’ that provides symbolic anchor points to facilitate wayfinding practices while also spatializing the historical narratives of political and cultural elites (</w:t>
      </w:r>
      <w:proofErr w:type="spellStart"/>
      <w:r>
        <w:t>Azaryahu</w:t>
      </w:r>
      <w:proofErr w:type="spellEnd"/>
      <w:r>
        <w:t xml:space="preserve"> 1996, 2011, 2012; Palonen 2008). … drawing much of their inspiration from @</w:t>
      </w:r>
      <w:proofErr w:type="gramStart"/>
      <w:r>
        <w:t>Link:</w:t>
      </w:r>
      <w:r>
        <w:rPr>
          <w:highlight w:val="magenta"/>
        </w:rPr>
        <w:t>Butler</w:t>
      </w:r>
      <w:r>
        <w:t>’s</w:t>
      </w:r>
      <w:proofErr w:type="gramEnd"/>
      <w:r>
        <w:t xml:space="preserve"> notion of performativity as ‘the reiterative and citational practices by which discourse produces the effects that </w:t>
      </w:r>
      <w:proofErr w:type="gramStart"/>
      <w:r>
        <w:t>it</w:t>
      </w:r>
      <w:proofErr w:type="gramEnd"/>
      <w:r>
        <w:t xml:space="preserve"> names’ (1993, 2).”</w:t>
      </w:r>
    </w:p>
    <w:p w14:paraId="696E77FB" w14:textId="77777777" w:rsidR="00076776" w:rsidRDefault="00000000">
      <w:r>
        <w:t xml:space="preserve">197: [@WIAM] </w:t>
      </w:r>
      <w:r>
        <w:rPr>
          <w:b/>
        </w:rPr>
        <w:t>performative force</w:t>
      </w:r>
      <w:r>
        <w:t>: “the speech acts and other embodied practices that must be repetitiously invoked—time and again … to the capacity to produce legitimating effects [of naming] through formal or informal means (Rose-Redwood and Glass 2014).</w:t>
      </w:r>
    </w:p>
    <w:p w14:paraId="4DFDB9E4" w14:textId="77777777" w:rsidR="00076776" w:rsidRDefault="00000000">
      <w:r>
        <w:rPr>
          <w:highlight w:val="green"/>
        </w:rPr>
        <w:t>198</w:t>
      </w:r>
      <w:r>
        <w:t xml:space="preserve">: </w:t>
      </w:r>
      <w:r>
        <w:rPr>
          <w:b/>
        </w:rPr>
        <w:t>toponymic dispossession</w:t>
      </w:r>
      <w:r>
        <w:t>: “… the process, pre-existing systems of Indigenous place naming were selectively adopted, ignored, or systematically expunged from colonial maps at the same time as many places were renamed in accordance with various European traditions of geographical nomenclature (Stewart 1967 [1945]).”</w:t>
      </w:r>
    </w:p>
    <w:p w14:paraId="19D13446" w14:textId="77777777" w:rsidR="00076776" w:rsidRDefault="00000000">
      <w:r>
        <w:rPr>
          <w:highlight w:val="yellow"/>
        </w:rPr>
        <w:t>198</w:t>
      </w:r>
      <w:r>
        <w:t xml:space="preserve">: [@IKSG] </w:t>
      </w:r>
      <w:proofErr w:type="spellStart"/>
      <w:r>
        <w:rPr>
          <w:b/>
        </w:rPr>
        <w:t>storyscapes</w:t>
      </w:r>
      <w:proofErr w:type="spellEnd"/>
      <w:r>
        <w:t>: “‘</w:t>
      </w:r>
      <w:proofErr w:type="spellStart"/>
      <w:r>
        <w:t>storyscapes</w:t>
      </w:r>
      <w:proofErr w:type="spellEnd"/>
      <w:r>
        <w:t>’ associated with traditional place naming practices continue to serve as an important foundation for the place-based identities of Indigenous peoples (Elsey 2013; also, see Basso 1996; Collignon 2006).”</w:t>
      </w:r>
    </w:p>
    <w:p w14:paraId="09CF301C" w14:textId="77777777" w:rsidR="00076776" w:rsidRDefault="00000000">
      <w:r>
        <w:t xml:space="preserve">198: </w:t>
      </w:r>
      <w:r>
        <w:rPr>
          <w:b/>
        </w:rPr>
        <w:t>counter-mapping</w:t>
      </w:r>
      <w:r>
        <w:t xml:space="preserve">: “… the cartographic reclamation of Indigenous toponymies has been a key strategy employed to affirm the deep ties that Indigenous groups have to the land (Thornton 1997, 2007).” </w:t>
      </w:r>
    </w:p>
    <w:p w14:paraId="6C754B01" w14:textId="77777777" w:rsidR="00076776" w:rsidRDefault="00000000">
      <w:r>
        <w:t>200</w:t>
      </w:r>
      <w:r>
        <w:rPr>
          <w:b/>
        </w:rPr>
        <w:t>: micro-toponyms</w:t>
      </w:r>
      <w:r>
        <w:t xml:space="preserve">: as opposed to “more abstract designations for larger geographical features,” such as the Salish Sea as opposed to the name for a local harbour. </w:t>
      </w:r>
    </w:p>
    <w:p w14:paraId="6ACB6557" w14:textId="77777777" w:rsidR="00076776" w:rsidRDefault="00000000">
      <w:r>
        <w:t xml:space="preserve">201: </w:t>
      </w:r>
      <w:r>
        <w:rPr>
          <w:b/>
        </w:rPr>
        <w:t>intensity of usage</w:t>
      </w:r>
      <w:r>
        <w:t xml:space="preserve">: “The citational chain of references to the Salish Sea in scientific discourse produced an </w:t>
      </w:r>
      <w:r>
        <w:rPr>
          <w:i/>
        </w:rPr>
        <w:t>intensity of usage</w:t>
      </w:r>
      <w:r>
        <w:t>, which forged a conceptual association of the name with the social authority of science.</w:t>
      </w:r>
    </w:p>
    <w:p w14:paraId="17FB9DBD" w14:textId="77777777" w:rsidR="00076776" w:rsidRDefault="00000000">
      <w:r>
        <w:rPr>
          <w:highlight w:val="green"/>
        </w:rPr>
        <w:t>203</w:t>
      </w:r>
      <w:r>
        <w:t xml:space="preserve">: </w:t>
      </w:r>
      <w:r>
        <w:rPr>
          <w:b/>
        </w:rPr>
        <w:t>anti-conquest</w:t>
      </w:r>
      <w:r>
        <w:t xml:space="preserve">: by D. </w:t>
      </w:r>
      <w:r>
        <w:rPr>
          <w:highlight w:val="magenta"/>
        </w:rPr>
        <w:t>Herman</w:t>
      </w:r>
      <w:r>
        <w:t xml:space="preserve">: “an act which romanticizes Indigenous culture while providing no actual exchange of power or opportunity for increased levels of self-determination.” </w:t>
      </w:r>
    </w:p>
    <w:p w14:paraId="2ADF1B20" w14:textId="77777777" w:rsidR="00076776" w:rsidRDefault="00000000">
      <w:r>
        <w:t xml:space="preserve">204: </w:t>
      </w:r>
      <w:r>
        <w:rPr>
          <w:b/>
        </w:rPr>
        <w:t>transboundary</w:t>
      </w:r>
      <w:r>
        <w:t xml:space="preserve">: “The rescaling of several local places into a singular “transboundary” space through the act of naming and mapping ….” </w:t>
      </w:r>
    </w:p>
    <w:p w14:paraId="4C206EB2" w14:textId="77777777" w:rsidR="00076776" w:rsidRDefault="00076776"/>
    <w:p w14:paraId="134374DD" w14:textId="77777777" w:rsidR="00076776" w:rsidRDefault="00076776"/>
    <w:p w14:paraId="1DE6FFBB" w14:textId="77777777" w:rsidR="00076776" w:rsidRDefault="00000000">
      <w:pPr>
        <w:pStyle w:val="Heading2"/>
      </w:pPr>
      <w:r>
        <w:t>Core quotes</w:t>
      </w:r>
    </w:p>
    <w:p w14:paraId="41ED5A50" w14:textId="77777777" w:rsidR="00076776" w:rsidRDefault="00000000">
      <w:r>
        <w:t>196 @Synech@Topo@</w:t>
      </w:r>
      <w:proofErr w:type="gramStart"/>
      <w:r>
        <w:t>Link:</w:t>
      </w:r>
      <w:r>
        <w:rPr>
          <w:highlight w:val="magenta"/>
        </w:rPr>
        <w:t>McPherson</w:t>
      </w:r>
      <w:proofErr w:type="gramEnd"/>
    </w:p>
    <w:p w14:paraId="49AE7D70" w14:textId="77777777" w:rsidR="00076776" w:rsidRDefault="00000000">
      <w:pPr>
        <w:ind w:left="720"/>
      </w:pPr>
      <w:r>
        <w:t xml:space="preserve">Bert Webber, who insisted that these three water bodies were an integrated ecosystem, which should be officially recognized as </w:t>
      </w:r>
      <w:r>
        <w:rPr>
          <w:b/>
        </w:rPr>
        <w:t>a single geographical “unit” with its own name</w:t>
      </w:r>
      <w:r>
        <w:t>.</w:t>
      </w:r>
    </w:p>
    <w:p w14:paraId="460F0B60" w14:textId="77777777" w:rsidR="00076776" w:rsidRDefault="00076776"/>
    <w:p w14:paraId="4A344BF9" w14:textId="77777777" w:rsidR="00076776" w:rsidRDefault="00000000">
      <w:r>
        <w:t>@Topo@Gov@Hegem@CGaze@Narr@Para</w:t>
      </w:r>
    </w:p>
    <w:p w14:paraId="53537116" w14:textId="77777777" w:rsidR="00076776" w:rsidRDefault="00000000">
      <w:pPr>
        <w:ind w:left="720"/>
      </w:pPr>
      <w:r>
        <w:t xml:space="preserve">… the reiterative citational practices associated with using this new name were employed </w:t>
      </w:r>
      <w:proofErr w:type="gramStart"/>
      <w:r>
        <w:t>in an effort to</w:t>
      </w:r>
      <w:proofErr w:type="gramEnd"/>
      <w:r>
        <w:t xml:space="preserve"> demand official governmental recognition.</w:t>
      </w:r>
    </w:p>
    <w:p w14:paraId="43264CD5" w14:textId="77777777" w:rsidR="00076776" w:rsidRDefault="00076776"/>
    <w:p w14:paraId="2F5E5A2D" w14:textId="77777777" w:rsidR="00076776" w:rsidRDefault="00000000">
      <w:r>
        <w:t xml:space="preserve">It is through the narrative gravity of a place that it reaches governmental legitimacy, and this is comically hard to square against early naming practices of ship’s captains simply deciding, on the spot, to name spaces/places after crew members, for example. In other words, the process through which the Salish Sea was predicated is contingent on the </w:t>
      </w:r>
      <w:r>
        <w:rPr>
          <w:i/>
        </w:rPr>
        <w:t>story</w:t>
      </w:r>
      <w:r>
        <w:t xml:space="preserve"> of its presence to make it “well established,” and therefore worthy of naming, formally. Perhaps this is precisely what RR&amp;T mean with names being “performative.” In this sense, it seems clear that dominant performers, that is, the majority populations who also control information media, must dominate narratives of place, and therefore the toponymic “discourse,” the “landscape-as-text” to which they refer: “the repetitious performance of material-discursive practices” (196). </w:t>
      </w:r>
    </w:p>
    <w:p w14:paraId="51B63F2C" w14:textId="77777777" w:rsidR="00076776" w:rsidRDefault="00076776"/>
    <w:p w14:paraId="57A2581E" w14:textId="77777777" w:rsidR="00076776" w:rsidRDefault="00000000">
      <w:r>
        <w:t>@Topo@Sign@Textual</w:t>
      </w:r>
    </w:p>
    <w:p w14:paraId="0A1B6EA3" w14:textId="77777777" w:rsidR="00076776" w:rsidRDefault="00000000">
      <w:pPr>
        <w:ind w:left="720"/>
      </w:pPr>
      <w:r>
        <w:t xml:space="preserve">… the study of place naming, or toponymy, has adopted a semiotic approach that situates the practices of toponymic inscription within a theorization of the </w:t>
      </w:r>
      <w:r>
        <w:rPr>
          <w:i/>
        </w:rPr>
        <w:t>landscape-as-text</w:t>
      </w:r>
      <w:r>
        <w:t xml:space="preserve">. </w:t>
      </w:r>
      <w:r>
        <w:rPr>
          <w:b/>
        </w:rPr>
        <w:t>The case of the Salish Sea can certainly be interpreted in semiotic terms—with the name serving as a new signifier used to rewrite the spatial “text” of the Canada/US border region along the Pacific coast.</w:t>
      </w:r>
    </w:p>
    <w:p w14:paraId="597020BB" w14:textId="77777777" w:rsidR="00076776" w:rsidRDefault="00076776"/>
    <w:p w14:paraId="3DA484A5" w14:textId="77777777" w:rsidR="00076776" w:rsidRDefault="00000000">
      <w:pPr>
        <w:rPr>
          <w:highlight w:val="green"/>
        </w:rPr>
      </w:pPr>
      <w:r>
        <w:rPr>
          <w:highlight w:val="green"/>
        </w:rPr>
        <w:t>@Arg@Topo@Perf@WIAM</w:t>
      </w:r>
    </w:p>
    <w:p w14:paraId="6B817831" w14:textId="77777777" w:rsidR="00076776" w:rsidRDefault="00000000">
      <w:pPr>
        <w:ind w:left="720"/>
      </w:pPr>
      <w:r>
        <w:t xml:space="preserve">… if we are to better understand the key role that performative speech acts (Austin 1962) have played in the legitimization of the Salish Sea as a geographical designation, then the naming process itself must be reframed as part of a broader theory of performativity, which considers how the repetitious performance of material-discursive practices helps constitute the </w:t>
      </w:r>
      <w:r>
        <w:rPr>
          <w:b/>
        </w:rPr>
        <w:t>embodied identities of both people and places</w:t>
      </w:r>
      <w:r>
        <w:t xml:space="preserve"> (Rose-Redwood and Glass 2014). … the performative enactment of the Salish Sea is a classic example of </w:t>
      </w:r>
      <w:r>
        <w:rPr>
          <w:i/>
        </w:rPr>
        <w:t>toponymic rescaling</w:t>
      </w:r>
      <w:r>
        <w:t>, which refers to the process whereby the act of naming is one of the primary place-making strategies used to reconstitute the scalar delimitation of geographical spaces.</w:t>
      </w:r>
    </w:p>
    <w:p w14:paraId="60ECF03A" w14:textId="77777777" w:rsidR="00076776" w:rsidRDefault="00076776">
      <w:pPr>
        <w:ind w:left="720"/>
      </w:pPr>
    </w:p>
    <w:p w14:paraId="7CC8C7A5" w14:textId="77777777" w:rsidR="00076776" w:rsidRDefault="00000000">
      <w:r>
        <w:t>@NeoCol@Topo@Decol@Map@Para</w:t>
      </w:r>
    </w:p>
    <w:p w14:paraId="3D9FF855" w14:textId="77777777" w:rsidR="00076776" w:rsidRDefault="00000000">
      <w:pPr>
        <w:ind w:left="720"/>
      </w:pPr>
      <w:r>
        <w:t xml:space="preserve">… given that the term “Salish” is a direct reference to the Indigenous peoples who have inhabited these lands and travelled these waters since time immemorial, it is critical to consider the extent to which this act of place naming can be seen as another step toward “decolonizing the map” (Huggan 1989) </w:t>
      </w:r>
      <w:r>
        <w:rPr>
          <w:i/>
        </w:rPr>
        <w:t>or</w:t>
      </w:r>
      <w:r>
        <w:t xml:space="preserve"> whether it reinforces neocolonial relations of socio-spatial dispossession by further normalizing the authority of the state in the “colonial present” (Gregory 2004).</w:t>
      </w:r>
    </w:p>
    <w:p w14:paraId="3D06A43A" w14:textId="77777777" w:rsidR="00076776" w:rsidRDefault="00076776"/>
    <w:p w14:paraId="42D72C9F" w14:textId="77777777" w:rsidR="00076776" w:rsidRDefault="00000000">
      <w:r>
        <w:t xml:space="preserve">@Topo@Para@NeoCol. On so-called reclamation of Indigenous naming: </w:t>
      </w:r>
    </w:p>
    <w:p w14:paraId="53D7AAA6" w14:textId="77777777" w:rsidR="00076776" w:rsidRDefault="00000000">
      <w:pPr>
        <w:ind w:left="1440"/>
      </w:pPr>
      <w:r>
        <w:t>Salish Sea is not a name that was traditionally used to describe this waterway prior to European contact. Rather, it is a comparatively recent “invention” that was first proposed by a non-Indigenous member of the scientific community. Nevertheless, the name has subsequently garnered support among many Coast Salish leaders.</w:t>
      </w:r>
    </w:p>
    <w:p w14:paraId="13BA88CF" w14:textId="77777777" w:rsidR="00076776" w:rsidRDefault="00076776">
      <w:pPr>
        <w:ind w:left="1440"/>
      </w:pPr>
    </w:p>
    <w:p w14:paraId="761F3341" w14:textId="77777777" w:rsidR="00076776" w:rsidRDefault="00000000">
      <w:r>
        <w:t>198 @Map@Topo@Hegem@WIAM</w:t>
      </w:r>
    </w:p>
    <w:p w14:paraId="25FE3E73" w14:textId="77777777" w:rsidR="00076776" w:rsidRDefault="00076776"/>
    <w:p w14:paraId="25AE8298" w14:textId="77777777" w:rsidR="00076776" w:rsidRDefault="00000000">
      <w:r>
        <w:lastRenderedPageBreak/>
        <w:t xml:space="preserve">On the process of “normalization” of </w:t>
      </w:r>
      <w:proofErr w:type="gramStart"/>
      <w:r>
        <w:t>place-names</w:t>
      </w:r>
      <w:proofErr w:type="gramEnd"/>
      <w:r>
        <w:t xml:space="preserve"> mentioned by Cohen and Harris: </w:t>
      </w:r>
    </w:p>
    <w:p w14:paraId="32D4B944" w14:textId="77777777" w:rsidR="00076776" w:rsidRDefault="00076776"/>
    <w:p w14:paraId="25D43A73" w14:textId="77777777" w:rsidR="00076776" w:rsidRDefault="00000000">
      <w:pPr>
        <w:ind w:left="720"/>
      </w:pPr>
      <w:r>
        <w:t xml:space="preserve">The apparent fixity of scale, they contend, is an </w:t>
      </w:r>
      <w:r>
        <w:rPr>
          <w:i/>
        </w:rPr>
        <w:t>effect</w:t>
      </w:r>
      <w:r>
        <w:t xml:space="preserve"> of a series of performative practices that must be reiterated </w:t>
      </w:r>
      <w:proofErr w:type="gramStart"/>
      <w:r>
        <w:t>in order to</w:t>
      </w:r>
      <w:proofErr w:type="gramEnd"/>
      <w:r>
        <w:t xml:space="preserve"> acquire the appearance of being ‘natural.’ … Larsen’s (2008) work on the political processes of “scale framing” … the spatial unit of the “ecosystem,” which is commonly conceived by </w:t>
      </w:r>
      <w:proofErr w:type="gramStart"/>
      <w:r>
        <w:t>policy-makers</w:t>
      </w:r>
      <w:proofErr w:type="gramEnd"/>
      <w:r>
        <w:t xml:space="preserve"> as a bounded space </w:t>
      </w:r>
      <w:proofErr w:type="gramStart"/>
      <w:r>
        <w:t>despite the fact that</w:t>
      </w:r>
      <w:proofErr w:type="gramEnd"/>
      <w:r>
        <w:t xml:space="preserve"> ecological systems are rarely, if ever, “clear-cut spatial entities” (Larsen 2008, 2011).</w:t>
      </w:r>
    </w:p>
    <w:p w14:paraId="59D311F6" w14:textId="77777777" w:rsidR="00076776" w:rsidRDefault="00076776"/>
    <w:p w14:paraId="1164EF73" w14:textId="77777777" w:rsidR="00076776" w:rsidRDefault="00000000">
      <w:r>
        <w:t xml:space="preserve">In essence, then, the performative practice becomes the toponymic reality through scaling, a kind of wholesale reductionism of boundless space to administrable units, semantically and politically. In a way, this could contribute to a conversation on the ways in which ontologies form over time, particularly on how the systemic performance of a map as a world-making object comes to construct personal understandings of place. </w:t>
      </w:r>
    </w:p>
    <w:p w14:paraId="6842C386" w14:textId="77777777" w:rsidR="00076776" w:rsidRDefault="00076776"/>
    <w:p w14:paraId="6453E716" w14:textId="77777777" w:rsidR="00076776" w:rsidRDefault="00000000">
      <w:r>
        <w:rPr>
          <w:highlight w:val="green"/>
        </w:rPr>
        <w:t>@IK</w:t>
      </w:r>
      <w:r>
        <w:t>@Topo@Para@Map@ISr@Hegem@Pow@IKSG</w:t>
      </w:r>
    </w:p>
    <w:p w14:paraId="01D5170E" w14:textId="77777777" w:rsidR="00076776" w:rsidRDefault="00076776"/>
    <w:p w14:paraId="66E22251" w14:textId="77777777" w:rsidR="00076776" w:rsidRDefault="00000000">
      <w:r>
        <w:t xml:space="preserve">Thom quote: </w:t>
      </w:r>
    </w:p>
    <w:p w14:paraId="0C4B5A0B" w14:textId="77777777" w:rsidR="00076776" w:rsidRDefault="00000000">
      <w:pPr>
        <w:ind w:left="720"/>
      </w:pPr>
      <w:r>
        <w:t xml:space="preserve">“… [t]he very maps that indigenous people hope will reconcile their claims with the jurisdiction and property claims of the state may in fact subvert indigenous notions of territory and boundaries” (2009, 179). … </w:t>
      </w:r>
      <w:r>
        <w:rPr>
          <w:b/>
        </w:rPr>
        <w:t>Indigenous place naming is not solely a cartographic endeavour alone; rather, the invocation of place names by Indigenous peoples is generally part of a broader ensemble of performative practices</w:t>
      </w:r>
      <w:r>
        <w:t xml:space="preserve"> that links the present with the past through storytelling, song, ceremony, oral history, and political protest—often challenging prevailing conceptions of “place” within settler societies (Kraus 2013).</w:t>
      </w:r>
    </w:p>
    <w:p w14:paraId="41CA0F98" w14:textId="77777777" w:rsidR="00076776" w:rsidRDefault="00076776"/>
    <w:p w14:paraId="7FC50B83" w14:textId="77777777" w:rsidR="00076776" w:rsidRDefault="00000000">
      <w:r>
        <w:t>200 @SettPsych@Hgem@Topo</w:t>
      </w:r>
    </w:p>
    <w:p w14:paraId="4557A3DD" w14:textId="77777777" w:rsidR="00076776" w:rsidRDefault="00000000">
      <w:r>
        <w:t xml:space="preserve">Re. Salish Sea as Anglicization: </w:t>
      </w:r>
    </w:p>
    <w:p w14:paraId="4E36381D" w14:textId="77777777" w:rsidR="00076776" w:rsidRDefault="00000000">
      <w:pPr>
        <w:ind w:left="720"/>
      </w:pPr>
      <w:r>
        <w:t>The ease of pronunciation for the English-speaking public may certainly have played a role….</w:t>
      </w:r>
    </w:p>
    <w:p w14:paraId="1113A0C8" w14:textId="77777777" w:rsidR="00076776" w:rsidRDefault="00076776"/>
    <w:p w14:paraId="390BCFE1" w14:textId="77777777" w:rsidR="00076776" w:rsidRDefault="00000000">
      <w:r>
        <w:rPr>
          <w:highlight w:val="green"/>
        </w:rPr>
        <w:t>@Reason</w:t>
      </w:r>
      <w:r>
        <w:t>@Pow@Hegem@Topo</w:t>
      </w:r>
    </w:p>
    <w:p w14:paraId="1532BF8F" w14:textId="77777777" w:rsidR="00076776" w:rsidRDefault="00000000">
      <w:pPr>
        <w:ind w:left="720"/>
      </w:pPr>
      <w:r>
        <w:t>… the rhetorical authority of science was employed to justify the necessity of establishing a collective name to recognize that the inland waters thus designated constitute a “unified ecosystem” (Smith 2009, 71). … Webber, explained, ‘I approached it as a scientist.’ … The uptake of the Salish Sea in scientific circles played a significant role in the legitimization of the new name and gave it the appearance of being sanctioned by the authority of scientific expertise.</w:t>
      </w:r>
    </w:p>
    <w:p w14:paraId="56EB9C1A" w14:textId="77777777" w:rsidR="00076776" w:rsidRDefault="00076776"/>
    <w:p w14:paraId="27D07268" w14:textId="77777777" w:rsidR="00076776" w:rsidRDefault="00000000">
      <w:r>
        <w:t>202 @ISr@Topo@Map</w:t>
      </w:r>
    </w:p>
    <w:p w14:paraId="02C1B4E9" w14:textId="77777777" w:rsidR="00076776" w:rsidRDefault="00076776"/>
    <w:p w14:paraId="5C45F9CD" w14:textId="77777777" w:rsidR="00076776" w:rsidRDefault="00000000">
      <w:r>
        <w:t xml:space="preserve">This is an important passage to show the different intentions of the naming-practices: one in Webber, seeking to determine “the ecosystem structure of that body of water” (202) and Harris’s reclamation, albeit through an Anglicized assertion, initially:  </w:t>
      </w:r>
    </w:p>
    <w:p w14:paraId="038D1F4C" w14:textId="77777777" w:rsidR="00076776" w:rsidRDefault="00076776"/>
    <w:p w14:paraId="57F6475A" w14:textId="77777777" w:rsidR="00076776" w:rsidRDefault="00000000">
      <w:pPr>
        <w:ind w:left="720"/>
      </w:pPr>
      <w:r>
        <w:lastRenderedPageBreak/>
        <w:t xml:space="preserve">George Harris, a member of the </w:t>
      </w:r>
      <w:proofErr w:type="spellStart"/>
      <w:r>
        <w:t>Stz’uminus</w:t>
      </w:r>
      <w:proofErr w:type="spellEnd"/>
      <w:r>
        <w:t xml:space="preserve"> First Nation, made a motion to rename the Georgia Strait as the Salish Sea, which was unanimously approved by Indigenous leaders. Harris’ proposal differed in </w:t>
      </w:r>
      <w:proofErr w:type="gramStart"/>
      <w:r>
        <w:t>a number of</w:t>
      </w:r>
      <w:proofErr w:type="gramEnd"/>
      <w:r>
        <w:t xml:space="preserve"> significant respects from Webber’s initial petition, since it applied only to the Georgia Strait </w:t>
      </w:r>
      <w:proofErr w:type="gramStart"/>
      <w:r>
        <w:t>and also</w:t>
      </w:r>
      <w:proofErr w:type="gramEnd"/>
      <w:r>
        <w:t xml:space="preserve"> called for the </w:t>
      </w:r>
      <w:r>
        <w:rPr>
          <w:i/>
        </w:rPr>
        <w:t>replacement</w:t>
      </w:r>
      <w:r>
        <w:t xml:space="preserve"> of the former name with the Salish Sea (CBC News 2008).</w:t>
      </w:r>
    </w:p>
    <w:p w14:paraId="1E1C2FFF" w14:textId="77777777" w:rsidR="00076776" w:rsidRDefault="00076776"/>
    <w:p w14:paraId="3A6A1D7B" w14:textId="77777777" w:rsidR="00076776" w:rsidRDefault="00000000">
      <w:r>
        <w:t xml:space="preserve">See Harris quote on 203: </w:t>
      </w:r>
    </w:p>
    <w:p w14:paraId="13F9DB57" w14:textId="77777777" w:rsidR="00076776" w:rsidRDefault="00076776"/>
    <w:p w14:paraId="73606268" w14:textId="77777777" w:rsidR="00076776" w:rsidRDefault="00000000">
      <w:pPr>
        <w:ind w:left="720"/>
      </w:pPr>
      <w:r>
        <w:t>I really believe that it does pay respect not only to my generation but the past generations and future generations. Also, that our Salish People, the people around the world need to know who we are … I believe that it does pay respect to us as a people. (Interview 2010)</w:t>
      </w:r>
    </w:p>
    <w:p w14:paraId="53AC2CC3" w14:textId="77777777" w:rsidR="00076776" w:rsidRDefault="00076776"/>
    <w:p w14:paraId="0F3E0DC8" w14:textId="77777777" w:rsidR="00076776" w:rsidRDefault="00000000">
      <w:r>
        <w:rPr>
          <w:highlight w:val="green"/>
        </w:rPr>
        <w:t>203-04</w:t>
      </w:r>
      <w:r>
        <w:t xml:space="preserve"> @ISr@IR@Topo@Map@Decol@NeoCol@Motherlode!</w:t>
      </w:r>
    </w:p>
    <w:p w14:paraId="5AA37C6F" w14:textId="77777777" w:rsidR="00076776" w:rsidRDefault="00076776"/>
    <w:p w14:paraId="4CE992CD" w14:textId="77777777" w:rsidR="00076776" w:rsidRDefault="00000000">
      <w:r>
        <w:t xml:space="preserve">Most important quote in the essay, and possibly the series of them by Rose-Redwood, as it summarizes the essence of a “decolonization” that stops halfway. From “Tsartlip master carver and teacher, </w:t>
      </w:r>
      <w:r>
        <w:rPr>
          <w:highlight w:val="magenta"/>
        </w:rPr>
        <w:t>Temosen</w:t>
      </w:r>
      <w:r>
        <w:t>:</w:t>
      </w:r>
      <w:r>
        <w:rPr>
          <w:rFonts w:ascii="Times" w:eastAsia="Times" w:hAnsi="Times" w:cs="Times"/>
          <w:color w:val="000000"/>
          <w:sz w:val="18"/>
          <w:szCs w:val="18"/>
        </w:rPr>
        <w:t xml:space="preserve"> </w:t>
      </w:r>
    </w:p>
    <w:p w14:paraId="37B1B291" w14:textId="77777777" w:rsidR="00076776" w:rsidRDefault="00076776"/>
    <w:p w14:paraId="371C3453" w14:textId="77777777" w:rsidR="00076776" w:rsidRDefault="00000000">
      <w:pPr>
        <w:ind w:left="720"/>
      </w:pPr>
      <w:r>
        <w:t>This place was fully named everywhere, was fully occupied ... It’s too weak (laughs) ... It’s a trivial thing if they’re not going to really change the names to what it should be. I feel it’s just tokenism. If they’re still going to call it Juan de Fuca so they can recognize these early explorers, then it’s still trampling on our rights ... They should be removed, and now we’re going to call it Salish Sea ... Coast Salish people are going to agree to that, because we feel insulted that they have all these names on our territory that already had names. And, whether it was called Salish Sea in the old days, at this point, doesn’t matter, because at least we’re putting a name on it that connects the people back to it again. (Interview 2010)</w:t>
      </w:r>
    </w:p>
    <w:p w14:paraId="50103136" w14:textId="77777777" w:rsidR="00076776" w:rsidRDefault="00076776"/>
    <w:p w14:paraId="183CD563" w14:textId="77777777" w:rsidR="00076776" w:rsidRDefault="00000000">
      <w:r>
        <w:t xml:space="preserve">@Para. Which leads the authors to this critical consideration:  </w:t>
      </w:r>
    </w:p>
    <w:p w14:paraId="70D2F899" w14:textId="77777777" w:rsidR="00076776" w:rsidRDefault="00076776"/>
    <w:p w14:paraId="68980A47" w14:textId="77777777" w:rsidR="00076776" w:rsidRDefault="00000000">
      <w:pPr>
        <w:ind w:left="720"/>
      </w:pPr>
      <w:r>
        <w:t xml:space="preserve">[Salish Sea naming] has arguably had the effect of further marginalizing Indigenous peoples’ claims to self-determination by limiting their own assertions of authority over the naming of places in their traditional territories, which should be a cause of concern for us all if we are truly committed to </w:t>
      </w:r>
      <w:r>
        <w:rPr>
          <w:b/>
        </w:rPr>
        <w:t>decolonizing the map</w:t>
      </w:r>
      <w:r>
        <w:t>.</w:t>
      </w:r>
    </w:p>
    <w:p w14:paraId="2BCF3A02" w14:textId="77777777" w:rsidR="00076776" w:rsidRDefault="00076776"/>
    <w:p w14:paraId="47F12E00" w14:textId="77777777" w:rsidR="00076776" w:rsidRDefault="00000000">
      <w:pPr>
        <w:pStyle w:val="Heading2"/>
      </w:pPr>
      <w:r>
        <w:t>Secondary quotes</w:t>
      </w:r>
    </w:p>
    <w:p w14:paraId="0A7E9696" w14:textId="77777777" w:rsidR="00076776" w:rsidRDefault="00000000">
      <w:r>
        <w:t xml:space="preserve">194 Salish Sea = St of Georgia + Puget Sound + Juan de Fuca. / Interesting footnote on Salish Sea name: “The term </w:t>
      </w:r>
      <w:r>
        <w:rPr>
          <w:b/>
        </w:rPr>
        <w:t>“Salish” is a non-Indigenous construct that Western anthropologists</w:t>
      </w:r>
      <w:r>
        <w:t xml:space="preserve"> initially devised to classify Indigenous language groups, but the term is currently in use among various Indigenous peoples who self-identify as Salish (for a detailed discussion of the anthropological literature on the Coast Salish, see Suttles 1987; Suttles and Lane 1990; Miller 2007; Thom 2009). </w:t>
      </w:r>
      <w:r>
        <w:rPr>
          <w:b/>
        </w:rPr>
        <w:t>Norman describes the Indigenous appropriation of the term “Coast Salish” as a significant case of “strategic essentialism” (2012, 145), and it should also be acknowledged that some Indigenous participants in the current study rejected this terminology as a colonial imposition.</w:t>
      </w:r>
      <w:r>
        <w:t xml:space="preserve">” / Bert Webber and history of name on 196 / “Salish Sea is not a name that was traditionally used to describe this waterway prior to European contact. </w:t>
      </w:r>
      <w:r>
        <w:lastRenderedPageBreak/>
        <w:t xml:space="preserve">Rather, it is a comparatively recent “invention” that was first proposed by a non- Indigenous member of the scientific community.” / 197 “… </w:t>
      </w:r>
      <w:r>
        <w:rPr>
          <w:b/>
        </w:rPr>
        <w:t>field of place-name studies</w:t>
      </w:r>
      <w:r>
        <w:t xml:space="preserve"> has recently witnessed a theoretical reorientation from a focus on encyclopaedic accounts of the origin and meaning of individual place names toward a more concerted effort to critically analyze the power relations that underpin place naming practices (Berg and </w:t>
      </w:r>
      <w:proofErr w:type="spellStart"/>
      <w:r>
        <w:t>Vuolteenaho</w:t>
      </w:r>
      <w:proofErr w:type="spellEnd"/>
      <w:r>
        <w:t xml:space="preserve"> 2009; Rose-Redwood et al. 2010; </w:t>
      </w:r>
      <w:proofErr w:type="spellStart"/>
      <w:r>
        <w:t>Giraut</w:t>
      </w:r>
      <w:proofErr w:type="spellEnd"/>
      <w:r>
        <w:t xml:space="preserve"> et al. 2012). / </w:t>
      </w:r>
      <w:r>
        <w:rPr>
          <w:b/>
        </w:rPr>
        <w:t>197 @Sign. How place-name studies have borrowed from the critical field of semiotics.</w:t>
      </w:r>
      <w:r>
        <w:t xml:space="preserve"> / 198 “… academic scholarship has played as an instrument of colonial oppression and cultural dispossession (Shaw et al. 2006).” / 199 </w:t>
      </w:r>
      <w:r>
        <w:rPr>
          <w:highlight w:val="magenta"/>
        </w:rPr>
        <w:t>Linda Tuhiwai Smith</w:t>
      </w:r>
      <w:r>
        <w:t xml:space="preserve"> on “research” being  “one of the dirtiest words in the indigenous world’s vocabulary” (1999, 1), followed by a long and useful quote: “… It galls us that Western researchers and intellectuals can assume to know all that it is possible to know of us, on the basis of their brief encounters with some of us.” / Haida Gwaii and Queen Charlotte Islands / 200 </w:t>
      </w:r>
      <w:r>
        <w:rPr>
          <w:b/>
        </w:rPr>
        <w:t>Alternative names for Salish Sea</w:t>
      </w:r>
      <w:r>
        <w:t xml:space="preserve"> included Harvey Manning’s proposed </w:t>
      </w:r>
      <w:proofErr w:type="spellStart"/>
      <w:r>
        <w:rPr>
          <w:b/>
          <w:i/>
        </w:rPr>
        <w:t>Whulj</w:t>
      </w:r>
      <w:proofErr w:type="spellEnd"/>
      <w:r>
        <w:t xml:space="preserve"> (translated as “the saltwater we know”) “… a term that had been used by various Coast Salish communities in the Puget Sound region (Olson 2000; Smith 2009). Yet, as Smith notes, further north in the Strait of Georgia “the word </w:t>
      </w:r>
      <w:proofErr w:type="spellStart"/>
      <w:r>
        <w:rPr>
          <w:b/>
          <w:i/>
        </w:rPr>
        <w:t>Sqelateses</w:t>
      </w:r>
      <w:proofErr w:type="spellEnd"/>
      <w:r>
        <w:t xml:space="preserve"> was used for large bodies of water instead of </w:t>
      </w:r>
      <w:proofErr w:type="spellStart"/>
      <w:r>
        <w:t>Whulj</w:t>
      </w:r>
      <w:proofErr w:type="spellEnd"/>
      <w:r>
        <w:t>” (2009, 70–71).” / 201 Briony Penn and Canadian push for Salish Sea name. / “</w:t>
      </w:r>
      <w:proofErr w:type="spellStart"/>
      <w:r>
        <w:t>Tsarlip</w:t>
      </w:r>
      <w:proofErr w:type="spellEnd"/>
      <w:r>
        <w:t xml:space="preserve"> elder, Tom Sampson, who was supportive of the name (see below)” / 202: “A major impetus for the official naming of the Salish Sea was the show of support for the name among Indigenous leaders at the Coast Salish Gathering and First Nations Summit in 2008. Although they recognized that the </w:t>
      </w:r>
      <w:r>
        <w:rPr>
          <w:b/>
        </w:rPr>
        <w:t>Salish Sea was not a traditional Indigenous toponym</w:t>
      </w:r>
      <w:r>
        <w:t xml:space="preserve"> … / @Erase “… opponents often raised concerns about how the removal of existing names would ‘erase’ history …” </w:t>
      </w:r>
    </w:p>
    <w:p w14:paraId="3563B124" w14:textId="77777777" w:rsidR="00076776" w:rsidRDefault="00076776"/>
    <w:p w14:paraId="4C8F71D7" w14:textId="77777777" w:rsidR="00076776" w:rsidRDefault="00000000">
      <w:pPr>
        <w:pStyle w:val="Heading2"/>
      </w:pPr>
      <w:r>
        <w:t>Notes</w:t>
      </w:r>
    </w:p>
    <w:p w14:paraId="360F350D" w14:textId="77777777" w:rsidR="00076776" w:rsidRDefault="00000000">
      <w:r>
        <w:t>@</w:t>
      </w:r>
      <w:proofErr w:type="gramStart"/>
      <w:r>
        <w:t>K?:</w:t>
      </w:r>
      <w:proofErr w:type="gramEnd"/>
      <w:r>
        <w:t xml:space="preserve"> Could we look at this Salish Sea toponym the same way we look at word origins, to suggest that, like words, some are intentional and others accidental? We must be dealing with a much different semantic gravity, but how would one plot this difference?</w:t>
      </w:r>
    </w:p>
    <w:p w14:paraId="0072F570" w14:textId="77777777" w:rsidR="00076776" w:rsidRDefault="00076776"/>
    <w:p w14:paraId="553E88A0" w14:textId="77777777" w:rsidR="00076776" w:rsidRDefault="00000000">
      <w:r>
        <w:t xml:space="preserve">@Map: Curiously, Navionics web-app does not have the “Salish Sea” in its database. </w:t>
      </w:r>
    </w:p>
    <w:p w14:paraId="5B0C5225" w14:textId="77777777" w:rsidR="00076776" w:rsidRDefault="00076776"/>
    <w:p w14:paraId="02B82997" w14:textId="77777777" w:rsidR="00076776" w:rsidRDefault="00000000">
      <w:r>
        <w:t xml:space="preserve">@Diss: </w:t>
      </w:r>
    </w:p>
    <w:p w14:paraId="6E2038A8" w14:textId="77777777" w:rsidR="00076776" w:rsidRDefault="00076776"/>
    <w:p w14:paraId="652A64B7" w14:textId="77777777" w:rsidR="00076776" w:rsidRDefault="00000000">
      <w:pPr>
        <w:ind w:left="720"/>
      </w:pPr>
      <w:r>
        <w:rPr>
          <w:highlight w:val="magenta"/>
        </w:rPr>
        <w:t>Huggan</w:t>
      </w:r>
      <w:r>
        <w:t xml:space="preserve">, G. 1989. “Decolonizing the map: </w:t>
      </w:r>
      <w:proofErr w:type="gramStart"/>
      <w:r>
        <w:t>Post-colonialism</w:t>
      </w:r>
      <w:proofErr w:type="gramEnd"/>
      <w:r>
        <w:t xml:space="preserve">, post-structuralism and the cartographic connection.” </w:t>
      </w:r>
      <w:r>
        <w:rPr>
          <w:i/>
        </w:rPr>
        <w:t>Ariel: A Review of International English Literature</w:t>
      </w:r>
      <w:r>
        <w:t xml:space="preserve"> 20(4): 115–131.</w:t>
      </w:r>
    </w:p>
    <w:p w14:paraId="2666AF9A" w14:textId="77777777" w:rsidR="00076776" w:rsidRDefault="00076776">
      <w:pPr>
        <w:ind w:left="720"/>
      </w:pPr>
    </w:p>
    <w:p w14:paraId="4C6B68BB"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pPr>
      <w:r>
        <w:rPr>
          <w:highlight w:val="magenta"/>
        </w:rPr>
        <w:t>Norman</w:t>
      </w:r>
      <w:r>
        <w:t>, E. 2012. “</w:t>
      </w:r>
      <w:hyperlink r:id="rId35">
        <w:r w:rsidR="00076776">
          <w:rPr>
            <w:color w:val="0563C1"/>
            <w:u w:val="single"/>
          </w:rPr>
          <w:t>Cultural politics and transboundary resource governance in the Salish Sea</w:t>
        </w:r>
      </w:hyperlink>
      <w:r>
        <w:t xml:space="preserve">.” </w:t>
      </w:r>
      <w:r>
        <w:rPr>
          <w:i/>
        </w:rPr>
        <w:t>Water Alternatives</w:t>
      </w:r>
      <w:r>
        <w:t xml:space="preserve"> 5(1): 138–160.</w:t>
      </w:r>
    </w:p>
    <w:p w14:paraId="4F9DBA34" w14:textId="77777777" w:rsidR="00076776" w:rsidRDefault="00076776"/>
    <w:p w14:paraId="70FD48C9" w14:textId="77777777" w:rsidR="00076776" w:rsidRDefault="00000000">
      <w:r>
        <w:t xml:space="preserve">Norman essay has this declaration drum, too, which some might argue is a kind of counter-cartography, but we might rightly say that settler maps are the counter-cartography to local and traditional </w:t>
      </w:r>
      <w:proofErr w:type="spellStart"/>
      <w:r>
        <w:t>storyscapes</w:t>
      </w:r>
      <w:proofErr w:type="spellEnd"/>
      <w:r>
        <w:t xml:space="preserve">: </w:t>
      </w:r>
    </w:p>
    <w:p w14:paraId="3FDE3670" w14:textId="77777777" w:rsidR="00076776" w:rsidRDefault="00076776"/>
    <w:p w14:paraId="4ADB446C" w14:textId="77777777" w:rsidR="00076776" w:rsidRDefault="00000000">
      <w:r>
        <w:rPr>
          <w:noProof/>
        </w:rPr>
        <w:lastRenderedPageBreak/>
        <w:drawing>
          <wp:inline distT="0" distB="0" distL="0" distR="0" wp14:anchorId="73AEC689" wp14:editId="13037142">
            <wp:extent cx="5943600" cy="4649470"/>
            <wp:effectExtent l="0" t="0" r="0" b="0"/>
            <wp:docPr id="9" name="image5.png" descr="A close up of a cl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close up of a clock&#10;&#10;Description automatically generated"/>
                    <pic:cNvPicPr preferRelativeResize="0"/>
                  </pic:nvPicPr>
                  <pic:blipFill>
                    <a:blip r:embed="rId36"/>
                    <a:srcRect/>
                    <a:stretch>
                      <a:fillRect/>
                    </a:stretch>
                  </pic:blipFill>
                  <pic:spPr>
                    <a:xfrm>
                      <a:off x="0" y="0"/>
                      <a:ext cx="5943600" cy="4649470"/>
                    </a:xfrm>
                    <a:prstGeom prst="rect">
                      <a:avLst/>
                    </a:prstGeom>
                    <a:ln/>
                  </pic:spPr>
                </pic:pic>
              </a:graphicData>
            </a:graphic>
          </wp:inline>
        </w:drawing>
      </w:r>
    </w:p>
    <w:p w14:paraId="58DCC5FD" w14:textId="77777777" w:rsidR="00076776" w:rsidRDefault="00076776"/>
    <w:p w14:paraId="28A46430" w14:textId="77777777" w:rsidR="00076776" w:rsidRDefault="00000000">
      <w:pPr>
        <w:pStyle w:val="Heading1"/>
      </w:pPr>
      <w:bookmarkStart w:id="40" w:name="_heading=h.vx1227" w:colFirst="0" w:colLast="0"/>
      <w:bookmarkEnd w:id="40"/>
      <w:r>
        <w:t>(2016) Rose-Redwood, “Reclaim, Rename, Reoccupy”: Decolonizing Place and the Reclaiming of PKOLS</w:t>
      </w:r>
    </w:p>
    <w:p w14:paraId="45A440C8" w14:textId="77777777" w:rsidR="00076776" w:rsidRDefault="00076776"/>
    <w:p w14:paraId="49560D1A" w14:textId="77777777" w:rsidR="00076776" w:rsidRDefault="00000000">
      <w:pPr>
        <w:pStyle w:val="Heading2"/>
      </w:pPr>
      <w:r>
        <w:t>Abstract</w:t>
      </w:r>
    </w:p>
    <w:p w14:paraId="05416D20" w14:textId="77777777" w:rsidR="00076776" w:rsidRDefault="00000000">
      <w:r>
        <w:t xml:space="preserve">Looks at the renaming of PKOLS and “highlights how the reassertion of Indigenous ontologies of place challenges the white supremacist logic embedded in the commemorative landscapes of settler colonialism as part of the broader struggle for Indigenous self-determination” (187). </w:t>
      </w:r>
    </w:p>
    <w:p w14:paraId="3A040D76" w14:textId="77777777" w:rsidR="00076776" w:rsidRDefault="00076776"/>
    <w:p w14:paraId="4885417B" w14:textId="77777777" w:rsidR="00076776" w:rsidRDefault="00000000">
      <w:pPr>
        <w:pStyle w:val="Heading2"/>
      </w:pPr>
      <w:r>
        <w:t>Key words</w:t>
      </w:r>
    </w:p>
    <w:p w14:paraId="3B2DEED0" w14:textId="77777777" w:rsidR="00076776" w:rsidRDefault="00000000">
      <w:r>
        <w:t xml:space="preserve">Toponymic activism, settler colonialism, renaming, power dynamics, the land question, systemic racism, </w:t>
      </w:r>
      <w:proofErr w:type="spellStart"/>
      <w:r>
        <w:t>storyscapes</w:t>
      </w:r>
      <w:proofErr w:type="spellEnd"/>
    </w:p>
    <w:p w14:paraId="6C2F8750" w14:textId="77777777" w:rsidR="00076776" w:rsidRDefault="00076776"/>
    <w:p w14:paraId="7666FB86" w14:textId="77777777" w:rsidR="00076776" w:rsidRDefault="00000000">
      <w:pPr>
        <w:pStyle w:val="Heading2"/>
      </w:pPr>
      <w:r>
        <w:lastRenderedPageBreak/>
        <w:t>Essential quote</w:t>
      </w:r>
    </w:p>
    <w:p w14:paraId="67CC406F" w14:textId="77777777" w:rsidR="00076776" w:rsidRDefault="00000000">
      <w:r>
        <w:t xml:space="preserve">202: … </w:t>
      </w:r>
      <w:r>
        <w:rPr>
          <w:rFonts w:ascii="Times" w:eastAsia="Times" w:hAnsi="Times" w:cs="Times"/>
          <w:color w:val="000000"/>
        </w:rPr>
        <w:t xml:space="preserve">to paraphrase Zinn (2002), those of us who are uninvited visitors on settler-occupied Indigenous lands cannot pretend to be neutral on the moving trainwreck that is settler colonialism on Turtle Island. </w:t>
      </w:r>
    </w:p>
    <w:p w14:paraId="21D0CCCD" w14:textId="77777777" w:rsidR="00076776" w:rsidRDefault="00076776"/>
    <w:p w14:paraId="624D8C38" w14:textId="77777777" w:rsidR="00076776" w:rsidRDefault="00000000">
      <w:pPr>
        <w:pStyle w:val="Heading2"/>
      </w:pPr>
      <w:r>
        <w:t>Terms</w:t>
      </w:r>
    </w:p>
    <w:p w14:paraId="54091F94" w14:textId="77777777" w:rsidR="00076776" w:rsidRDefault="00076776"/>
    <w:p w14:paraId="7D0D456E" w14:textId="77777777" w:rsidR="00076776" w:rsidRDefault="00000000">
      <w:pPr>
        <w:pStyle w:val="Heading4"/>
      </w:pPr>
      <w:r>
        <w:t>Test</w:t>
      </w:r>
    </w:p>
    <w:p w14:paraId="012D96E8" w14:textId="77777777" w:rsidR="00076776" w:rsidRDefault="00000000">
      <w:r>
        <w:t xml:space="preserve">188 &amp; 201: </w:t>
      </w:r>
      <w:proofErr w:type="spellStart"/>
      <w:r>
        <w:rPr>
          <w:b/>
        </w:rPr>
        <w:t>storyscapes</w:t>
      </w:r>
      <w:proofErr w:type="spellEnd"/>
      <w:r>
        <w:t xml:space="preserve">: “While there are multiple fronts on which Indigenous struggles for self-determination are currently being waged, the reclamation of Indigenous </w:t>
      </w:r>
      <w:proofErr w:type="spellStart"/>
      <w:r>
        <w:t>storyscapes</w:t>
      </w:r>
      <w:proofErr w:type="spellEnd"/>
      <w:r>
        <w:t xml:space="preserve"> through the rituals of naming is a powerful means of achieving what TEMOSEN (Charles Elliot) has called “a small bit of decolonization” that may very well go a long way (as quoted in Dickson, 2014).</w:t>
      </w:r>
    </w:p>
    <w:p w14:paraId="4D030531" w14:textId="77777777" w:rsidR="00076776" w:rsidRDefault="00000000">
      <w:r>
        <w:t xml:space="preserve">192: </w:t>
      </w:r>
      <w:r>
        <w:rPr>
          <w:b/>
        </w:rPr>
        <w:t>critical toponymic scholarship</w:t>
      </w:r>
      <w:r>
        <w:t xml:space="preserve">. </w:t>
      </w:r>
    </w:p>
    <w:p w14:paraId="07EB0A83" w14:textId="77777777" w:rsidR="00076776" w:rsidRDefault="00000000">
      <w:r>
        <w:t xml:space="preserve">193: </w:t>
      </w:r>
      <w:r>
        <w:rPr>
          <w:b/>
        </w:rPr>
        <w:t>cultural arena</w:t>
      </w:r>
      <w:r>
        <w:t>: “in which different social groups seek to attain cultural recognition by rendering their collective identities visible in the public sphere and sanctioned by the sovereign state (Alderman and Inwood, 2013).”</w:t>
      </w:r>
    </w:p>
    <w:p w14:paraId="5EFEFD22" w14:textId="77777777" w:rsidR="00076776" w:rsidRDefault="00000000">
      <w:r>
        <w:t xml:space="preserve">193: </w:t>
      </w:r>
      <w:r>
        <w:rPr>
          <w:b/>
        </w:rPr>
        <w:t>spatial justice</w:t>
      </w:r>
      <w:r>
        <w:t>: to have self-determination of space/place, “to achieve a form of spatial justice by challenging the ongoing legacies and structures of white supremacy.”</w:t>
      </w:r>
    </w:p>
    <w:p w14:paraId="7741EE5F" w14:textId="77777777" w:rsidR="00076776" w:rsidRDefault="00000000">
      <w:r>
        <w:t xml:space="preserve">193: </w:t>
      </w:r>
      <w:r>
        <w:rPr>
          <w:b/>
        </w:rPr>
        <w:t>anti-conquest</w:t>
      </w:r>
      <w:r>
        <w:t xml:space="preserve">: “Pratt’s (1992) notion of “anti-conquest,” Herman (2009, 103) argues that the official recognition of Indigenous place names by the neocolonial state often “involves glorifying the Other at the same time that the Other is denied real power.” </w:t>
      </w:r>
    </w:p>
    <w:p w14:paraId="3762975E" w14:textId="77777777" w:rsidR="00076776" w:rsidRDefault="00000000">
      <w:r>
        <w:rPr>
          <w:rFonts w:ascii="Times" w:eastAsia="Times" w:hAnsi="Times" w:cs="Times"/>
          <w:color w:val="000000"/>
        </w:rPr>
        <w:t xml:space="preserve">198: </w:t>
      </w:r>
      <w:r>
        <w:t>@IKSG@NeoCol.</w:t>
      </w:r>
      <w:r>
        <w:rPr>
          <w:rFonts w:ascii="Times" w:eastAsia="Times" w:hAnsi="Times" w:cs="Times"/>
          <w:color w:val="000000"/>
        </w:rPr>
        <w:t xml:space="preserve"> </w:t>
      </w:r>
      <w:r>
        <w:rPr>
          <w:b/>
        </w:rPr>
        <w:t xml:space="preserve">neocolonial </w:t>
      </w:r>
      <w:proofErr w:type="spellStart"/>
      <w:r>
        <w:rPr>
          <w:b/>
        </w:rPr>
        <w:t>namescapes</w:t>
      </w:r>
      <w:proofErr w:type="spellEnd"/>
      <w:r>
        <w:t>:</w:t>
      </w:r>
      <w:r>
        <w:rPr>
          <w:rFonts w:ascii="Times" w:eastAsia="Times" w:hAnsi="Times" w:cs="Times"/>
          <w:color w:val="000000"/>
        </w:rPr>
        <w:t xml:space="preserve"> “</w:t>
      </w:r>
      <w:r>
        <w:t xml:space="preserve">The banality of these neocolonial </w:t>
      </w:r>
      <w:proofErr w:type="spellStart"/>
      <w:r>
        <w:t>namescapes</w:t>
      </w:r>
      <w:proofErr w:type="spellEnd"/>
      <w:r>
        <w:t xml:space="preserve"> has played an integral role in the “processes of fetishization that efface the social relations that underpin landscapes of dispossession” (Berg, 2011, 17).</w:t>
      </w:r>
    </w:p>
    <w:p w14:paraId="5C55B75B" w14:textId="77777777" w:rsidR="00076776" w:rsidRDefault="00000000">
      <w:r>
        <w:t xml:space="preserve">199: </w:t>
      </w:r>
      <w:r>
        <w:rPr>
          <w:b/>
        </w:rPr>
        <w:t>geographical unconscious</w:t>
      </w:r>
      <w:r>
        <w:t>:</w:t>
      </w:r>
      <w:r>
        <w:rPr>
          <w:b/>
        </w:rPr>
        <w:t xml:space="preserve"> </w:t>
      </w:r>
      <w:r>
        <w:t>“I had internalized the discursive practices of settler colonialism, which acquired a stronghold in my own “geographical unconscious” (</w:t>
      </w:r>
      <w:proofErr w:type="spellStart"/>
      <w:r>
        <w:rPr>
          <w:b/>
        </w:rPr>
        <w:t>Loukaki</w:t>
      </w:r>
      <w:proofErr w:type="spellEnd"/>
      <w:r>
        <w:t xml:space="preserve">, 2014). </w:t>
      </w:r>
    </w:p>
    <w:p w14:paraId="5F67FF77" w14:textId="77777777" w:rsidR="00076776" w:rsidRDefault="00000000">
      <w:r>
        <w:rPr>
          <w:highlight w:val="green"/>
        </w:rPr>
        <w:t>199</w:t>
      </w:r>
      <w:r>
        <w:t xml:space="preserve">: </w:t>
      </w:r>
      <w:r>
        <w:rPr>
          <w:b/>
        </w:rPr>
        <w:t>settler moves to innocence</w:t>
      </w:r>
      <w:r>
        <w:t>: by Tuck and Yang: “those strategies or positionings that attempt to relieve the settler of feelings of guilt or responsibility without giving up land or power or privilege, without having to change much at all. In fact, settler scholars may gain professional kudos or a boost in their reputations for being so sensitive or self-aware. Yet settler moves to innocence are hollow, they only serve the settler (2012, 10).”</w:t>
      </w:r>
    </w:p>
    <w:p w14:paraId="33C0572A" w14:textId="77777777" w:rsidR="00076776" w:rsidRDefault="00000000">
      <w:r>
        <w:rPr>
          <w:highlight w:val="green"/>
        </w:rPr>
        <w:t>199</w:t>
      </w:r>
      <w:r>
        <w:t xml:space="preserve">: </w:t>
      </w:r>
      <w:r>
        <w:rPr>
          <w:rFonts w:ascii="Times" w:eastAsia="Times" w:hAnsi="Times" w:cs="Times"/>
          <w:b/>
          <w:color w:val="000000"/>
        </w:rPr>
        <w:t>symbolic forms of decolonization</w:t>
      </w:r>
      <w:r>
        <w:rPr>
          <w:rFonts w:ascii="Times" w:eastAsia="Times" w:hAnsi="Times" w:cs="Times"/>
          <w:color w:val="000000"/>
        </w:rPr>
        <w:t xml:space="preserve">: </w:t>
      </w:r>
      <w:r>
        <w:t>“…those which stop short of the full repatriation of Indigenous land — have the effect of reducing this term to an “empty signifier” (Tuck and Yang, 2012, 7).</w:t>
      </w:r>
    </w:p>
    <w:p w14:paraId="74DCC56A" w14:textId="77777777" w:rsidR="00076776" w:rsidRDefault="00000000">
      <w:r>
        <w:rPr>
          <w:highlight w:val="green"/>
        </w:rPr>
        <w:t>202</w:t>
      </w:r>
      <w:r>
        <w:t xml:space="preserve">: </w:t>
      </w:r>
      <w:r>
        <w:rPr>
          <w:rFonts w:ascii="Times" w:eastAsia="Times" w:hAnsi="Times" w:cs="Times"/>
          <w:b/>
          <w:color w:val="000000"/>
        </w:rPr>
        <w:t>toponymic activism</w:t>
      </w:r>
      <w:r>
        <w:rPr>
          <w:rFonts w:ascii="Times" w:eastAsia="Times" w:hAnsi="Times" w:cs="Times"/>
          <w:color w:val="000000"/>
        </w:rPr>
        <w:t>: “</w:t>
      </w:r>
      <w:r>
        <w:rPr>
          <w:rFonts w:ascii="Times" w:eastAsia="Times" w:hAnsi="Times" w:cs="Times"/>
          <w:i/>
          <w:color w:val="000000"/>
        </w:rPr>
        <w:t xml:space="preserve">toponymic activism </w:t>
      </w:r>
      <w:r>
        <w:rPr>
          <w:rFonts w:ascii="Times" w:eastAsia="Times" w:hAnsi="Times" w:cs="Times"/>
          <w:color w:val="000000"/>
        </w:rPr>
        <w:t>with the aim of ‘doing something about injustice in a real sense’ (Alfred, 2005, p. 105).”</w:t>
      </w:r>
    </w:p>
    <w:p w14:paraId="548E6792" w14:textId="77777777" w:rsidR="00076776" w:rsidRDefault="00076776"/>
    <w:p w14:paraId="762833D0" w14:textId="77777777" w:rsidR="00076776" w:rsidRDefault="00000000">
      <w:pPr>
        <w:pStyle w:val="Heading2"/>
      </w:pPr>
      <w:r>
        <w:t>Core quotes</w:t>
      </w:r>
    </w:p>
    <w:p w14:paraId="7F58A25A" w14:textId="77777777" w:rsidR="00076776" w:rsidRDefault="00000000">
      <w:r>
        <w:t>189 @IKSG@NeoCol@ISr</w:t>
      </w:r>
    </w:p>
    <w:p w14:paraId="06595734" w14:textId="77777777" w:rsidR="00076776" w:rsidRDefault="00000000">
      <w:pPr>
        <w:ind w:left="720"/>
      </w:pPr>
      <w:r>
        <w:t xml:space="preserve">Naming the mountain after the man whose namesake underwrote this treaty has served as a daily reminder that the material and symbolic violence of colonial dispossession continues to shape Indigenous-Settler relations in the neocolonial present. </w:t>
      </w:r>
    </w:p>
    <w:p w14:paraId="2C7306C9" w14:textId="77777777" w:rsidR="00076776" w:rsidRDefault="00076776"/>
    <w:p w14:paraId="53D81CE4" w14:textId="77777777" w:rsidR="00076776" w:rsidRDefault="00000000">
      <w:r>
        <w:lastRenderedPageBreak/>
        <w:t>191 @IKSG@Topo</w:t>
      </w:r>
    </w:p>
    <w:p w14:paraId="24D948CC" w14:textId="77777777" w:rsidR="00076776" w:rsidRDefault="00000000">
      <w:pPr>
        <w:ind w:left="720"/>
      </w:pPr>
      <w:r>
        <w:t>The ceremonial renaming of PKOLS was about more than reacting to injustice of colonial dispossession; rather, it was a performative enactment of Indigenous ways of knowing and being with the land, a declaration of cultural resurgence, and an assertion of the right to authorize the decolonization of “place” without seeking prior permission from the settler-colonial state.</w:t>
      </w:r>
    </w:p>
    <w:p w14:paraId="3ECA7827" w14:textId="77777777" w:rsidR="00076776" w:rsidRDefault="00076776"/>
    <w:p w14:paraId="787032ED" w14:textId="77777777" w:rsidR="00076776" w:rsidRDefault="00000000">
      <w:r>
        <w:t>@Arg@Topo@Pow</w:t>
      </w:r>
    </w:p>
    <w:p w14:paraId="035EA83C" w14:textId="77777777" w:rsidR="00076776" w:rsidRDefault="00000000">
      <w:pPr>
        <w:ind w:left="720"/>
      </w:pPr>
      <w:r>
        <w:t>The significance of reclaiming PKOLS was therefore larger than the name itself; the act of naming was a resolute answer through direct action to the broader question, “On whose authority?”</w:t>
      </w:r>
    </w:p>
    <w:p w14:paraId="6168BC1E" w14:textId="77777777" w:rsidR="00076776" w:rsidRDefault="00076776"/>
    <w:p w14:paraId="0A05BF31" w14:textId="77777777" w:rsidR="00076776" w:rsidRDefault="00000000">
      <w:r>
        <w:rPr>
          <w:highlight w:val="green"/>
        </w:rPr>
        <w:t>192</w:t>
      </w:r>
      <w:r>
        <w:t xml:space="preserve"> @IKSG@ISr@Hegem@Topo@IKSG</w:t>
      </w:r>
    </w:p>
    <w:p w14:paraId="19846AAF" w14:textId="77777777" w:rsidR="00076776" w:rsidRDefault="00000000">
      <w:pPr>
        <w:ind w:left="720"/>
      </w:pPr>
      <w:r>
        <w:t>Although neither the Saanich government nor the Province of British Columbia have officially endorsed the use of PKOLS as a geographical designation, the reinstallation of the sign by Saanich government employees was a tacit acknowledgement of its legitimacy. The provincial government has also now listed PKOLS as the “traditional” name of Mount Douglas in its “Original Notes and History” section of the BC Geographical Names webpage, thereby recognizing PKOLS yet relegating it to the realm of “history” while maintaining Mount Douglas as the official name of this landmark in the settler-colonial geographical lexicon (</w:t>
      </w:r>
      <w:proofErr w:type="spellStart"/>
      <w:r>
        <w:t>GeoBC</w:t>
      </w:r>
      <w:proofErr w:type="spellEnd"/>
      <w:r>
        <w:t>, 2014).</w:t>
      </w:r>
    </w:p>
    <w:p w14:paraId="07FD71AD" w14:textId="77777777" w:rsidR="00076776" w:rsidRDefault="00076776"/>
    <w:p w14:paraId="20FEB2DF" w14:textId="77777777" w:rsidR="00076776" w:rsidRDefault="00000000">
      <w:r>
        <w:t xml:space="preserve">This is an important point, as it articulates well the subsuming of the Indigenous perspective on place into the body politic, the “legitimating” force/state. </w:t>
      </w:r>
    </w:p>
    <w:p w14:paraId="6620D141" w14:textId="77777777" w:rsidR="00076776" w:rsidRDefault="00076776"/>
    <w:p w14:paraId="140885F4" w14:textId="77777777" w:rsidR="00076776" w:rsidRDefault="00000000">
      <w:r>
        <w:t>@Topo@Polity@Ontol</w:t>
      </w:r>
    </w:p>
    <w:p w14:paraId="2607A53A" w14:textId="77777777" w:rsidR="00076776" w:rsidRDefault="00000000">
      <w:pPr>
        <w:ind w:left="720"/>
      </w:pPr>
      <w:r>
        <w:t xml:space="preserve">As the reclamation of PKOLS illustrates, the naming of places often plays a crucial role in the cultural politics of place-making. … This so-called “critical turn” in the field of place-name studies has sought to move beyond viewing place names as </w:t>
      </w:r>
      <w:r>
        <w:rPr>
          <w:i/>
        </w:rPr>
        <w:t>cultural indicators</w:t>
      </w:r>
      <w:r>
        <w:t xml:space="preserve"> and instead emphasizes the </w:t>
      </w:r>
      <w:r>
        <w:rPr>
          <w:i/>
        </w:rPr>
        <w:t>contested processes</w:t>
      </w:r>
      <w:r>
        <w:t xml:space="preserve"> through which places are brought into being by an assortment of naming practices.</w:t>
      </w:r>
    </w:p>
    <w:p w14:paraId="0E5A75C5" w14:textId="77777777" w:rsidR="00076776" w:rsidRDefault="00076776"/>
    <w:p w14:paraId="3F64B5EC" w14:textId="77777777" w:rsidR="00076776" w:rsidRDefault="00000000">
      <w:r>
        <w:rPr>
          <w:highlight w:val="green"/>
        </w:rPr>
        <w:t>193</w:t>
      </w:r>
      <w:r>
        <w:t xml:space="preserve"> @IKSG@NeoLib@Polity@CogImp@Topo@Resist</w:t>
      </w:r>
    </w:p>
    <w:p w14:paraId="15A3F0C9" w14:textId="77777777" w:rsidR="00076776" w:rsidRDefault="00000000">
      <w:pPr>
        <w:ind w:left="720"/>
      </w:pPr>
      <w:r>
        <w:t xml:space="preserve">Yet, within the context of Indigenous struggles for self-determination, the limits to this emphasis on the politics of recognition are becoming increasingly evident (Coulthard, 2014), since one of the primary issues at stake in the reclamation of Indigenous toponymies is to call into question the seemingly self-evident authority of the neocolonial state as the final arbiter of geographical naming (Tucker and Rose-Redwood, 2015). </w:t>
      </w:r>
      <w:proofErr w:type="gramStart"/>
      <w:r>
        <w:rPr>
          <w:sz w:val="14"/>
          <w:szCs w:val="14"/>
        </w:rPr>
        <w:t xml:space="preserve">4 </w:t>
      </w:r>
      <w:r>
        <w:t xml:space="preserve"> /</w:t>
      </w:r>
      <w:proofErr w:type="gramEnd"/>
      <w:r>
        <w:t xml:space="preserve"> We must therefore be cautious not to conflate liberal-pluralist efforts to be </w:t>
      </w:r>
      <w:r>
        <w:rPr>
          <w:i/>
        </w:rPr>
        <w:t xml:space="preserve">recognized </w:t>
      </w:r>
      <w:r>
        <w:t xml:space="preserve">by the sovereign state in </w:t>
      </w:r>
      <w:proofErr w:type="gramStart"/>
      <w:r>
        <w:t>officially-sanctioned</w:t>
      </w:r>
      <w:proofErr w:type="gramEnd"/>
      <w:r>
        <w:t xml:space="preserve"> geographical nomenclature with Indigenous assertions of their </w:t>
      </w:r>
      <w:r>
        <w:rPr>
          <w:i/>
        </w:rPr>
        <w:t xml:space="preserve">own </w:t>
      </w:r>
      <w:r>
        <w:t>authority over the naming of places within settler-occupied Indigenous territories. … the sovereign state will typically respond — if at all — by seeking to domesticate Indigenous assertions of self-determination in toponymic matters, channelling them through ready-made lines of sovereign authority delegated to geographical naming boards or related settler-colonial institutions.</w:t>
      </w:r>
    </w:p>
    <w:p w14:paraId="4D58FE86" w14:textId="77777777" w:rsidR="00076776" w:rsidRDefault="00076776"/>
    <w:p w14:paraId="6A293AA9" w14:textId="77777777" w:rsidR="00076776" w:rsidRDefault="00000000">
      <w:r>
        <w:rPr>
          <w:highlight w:val="yellow"/>
        </w:rPr>
        <w:lastRenderedPageBreak/>
        <w:t>194 @IKSG@DECOL@SJ@SettPsych@CogImp@</w:t>
      </w:r>
      <w:proofErr w:type="gramStart"/>
      <w:r>
        <w:rPr>
          <w:highlight w:val="yellow"/>
        </w:rPr>
        <w:t>Boom!@</w:t>
      </w:r>
      <w:proofErr w:type="gramEnd"/>
      <w:r>
        <w:rPr>
          <w:highlight w:val="yellow"/>
        </w:rPr>
        <w:t xml:space="preserve">Acad </w:t>
      </w:r>
    </w:p>
    <w:p w14:paraId="4ABC5962" w14:textId="77777777" w:rsidR="00076776" w:rsidRDefault="00000000">
      <w:pPr>
        <w:rPr>
          <w:highlight w:val="yellow"/>
        </w:rPr>
      </w:pPr>
      <w:r>
        <w:rPr>
          <w:highlight w:val="yellow"/>
        </w:rPr>
        <w:t>Taking Indigenous struggles for self-determination seriously poses a significant challenge to non-Indigenous scholars who seek to promote social justice and oppose white supremacy yet are themselves an integral part of colonialism (Barker, 2012a). As Alfred (2005, 105) incisively observes:</w:t>
      </w:r>
    </w:p>
    <w:p w14:paraId="36BDE556" w14:textId="77777777" w:rsidR="00076776" w:rsidRDefault="00000000">
      <w:pPr>
        <w:ind w:left="1440"/>
      </w:pPr>
      <w:r>
        <w:rPr>
          <w:highlight w:val="yellow"/>
        </w:rPr>
        <w:t xml:space="preserve">[some settlers] may be progressive politically, but they usually hold a strong attachment to the colonial state and to their own privileges within Settler society. … They are effectively silenced by being caught in the squeeze between their intellectual deconstructions of power and their </w:t>
      </w:r>
      <w:r>
        <w:rPr>
          <w:b/>
          <w:highlight w:val="yellow"/>
        </w:rPr>
        <w:t>moral cowardice</w:t>
      </w:r>
      <w:r>
        <w:rPr>
          <w:highlight w:val="yellow"/>
        </w:rPr>
        <w:t xml:space="preserve"> when it comes to doing something about </w:t>
      </w:r>
      <w:r>
        <w:rPr>
          <w:b/>
          <w:highlight w:val="yellow"/>
        </w:rPr>
        <w:t>injustice in a real sense.</w:t>
      </w:r>
    </w:p>
    <w:p w14:paraId="2E13DAD3" w14:textId="77777777" w:rsidR="00076776" w:rsidRDefault="00076776">
      <w:pPr>
        <w:rPr>
          <w:b/>
        </w:rPr>
      </w:pPr>
    </w:p>
    <w:p w14:paraId="4ABEAE8A" w14:textId="77777777" w:rsidR="00076776" w:rsidRDefault="00000000">
      <w:r>
        <w:rPr>
          <w:highlight w:val="green"/>
        </w:rPr>
        <w:t>@IKSG</w:t>
      </w:r>
      <w:r>
        <w:t>@Topo@Hegem@NeoCol@Ontol@CogImp</w:t>
      </w:r>
    </w:p>
    <w:p w14:paraId="103AAE77" w14:textId="77777777" w:rsidR="00076776" w:rsidRDefault="00000000">
      <w:pPr>
        <w:ind w:left="720"/>
      </w:pPr>
      <w:r>
        <w:t xml:space="preserve">… the utter ubiquity of colonial place names has had the effect of </w:t>
      </w:r>
      <w:r>
        <w:rPr>
          <w:i/>
        </w:rPr>
        <w:t xml:space="preserve">normalizing </w:t>
      </w:r>
      <w:r>
        <w:t>the colonial imaginary as the taken-for-granted order of the discursive universe through which neocolonial modes of being-in-the-world are experienced. Whether one is going to buy groceries at the local market, walking a dog through a local park, or attending a local high school, the legacy of colonialism is embodied in the mundane spaces of daily life (Figure 6).</w:t>
      </w:r>
    </w:p>
    <w:p w14:paraId="3643C5E6" w14:textId="77777777" w:rsidR="00076776" w:rsidRDefault="00076776"/>
    <w:p w14:paraId="610BEB02" w14:textId="77777777" w:rsidR="00076776" w:rsidRDefault="00000000">
      <w:r>
        <w:t xml:space="preserve">This could be a line of inquiry: cognitive imperialism as a factor in resistance or normalization of Indig. toponomies. </w:t>
      </w:r>
    </w:p>
    <w:p w14:paraId="21439F7E" w14:textId="77777777" w:rsidR="00076776" w:rsidRDefault="00076776"/>
    <w:p w14:paraId="3A4A709A" w14:textId="77777777" w:rsidR="00076776" w:rsidRDefault="00000000">
      <w:r>
        <w:t>198 @Hegem@SettPsych@Hist@Topo@Arg@DECOL@SpacePlace@Ontol</w:t>
      </w:r>
    </w:p>
    <w:p w14:paraId="54CE96E4" w14:textId="77777777" w:rsidR="00076776" w:rsidRDefault="00000000">
      <w:pPr>
        <w:ind w:left="720"/>
      </w:pPr>
      <w:r>
        <w:t xml:space="preserve">Put simply, the argument against the erasure of colonial toponymy conflates the need to understand the past (itself a laudatory goal) with the </w:t>
      </w:r>
      <w:r>
        <w:rPr>
          <w:i/>
        </w:rPr>
        <w:t>celebratory</w:t>
      </w:r>
      <w:r>
        <w:t xml:space="preserve"> commemoration of historical figures whose names signify colonial dispossession and white supremacy. The latter is most certainly not a requisite for pursuing the former, yet the reactionary politics that often surface within the settler society when the norms of colonial hegemony are challenged indicate how settler colonialism in British Columbia, and in Canada more generally, is an </w:t>
      </w:r>
      <w:r>
        <w:rPr>
          <w:i/>
        </w:rPr>
        <w:t>ongoing</w:t>
      </w:r>
      <w:r>
        <w:t xml:space="preserve"> project that depends upon the continuous reiteration of colonial ways of knowing and being-in-the-world.</w:t>
      </w:r>
    </w:p>
    <w:p w14:paraId="147F8598" w14:textId="77777777" w:rsidR="00076776" w:rsidRDefault="00076776"/>
    <w:p w14:paraId="7B34C6BF" w14:textId="77777777" w:rsidR="00076776" w:rsidRDefault="00000000">
      <w:r>
        <w:rPr>
          <w:highlight w:val="green"/>
        </w:rPr>
        <w:t>198-99</w:t>
      </w:r>
      <w:r>
        <w:t xml:space="preserve"> @Topo@NeoCol@Ontol@IKSG</w:t>
      </w:r>
    </w:p>
    <w:p w14:paraId="32B985DF" w14:textId="77777777" w:rsidR="00076776" w:rsidRDefault="00000000">
      <w:pPr>
        <w:ind w:left="720"/>
      </w:pPr>
      <w:r>
        <w:t xml:space="preserve">… as Hunt cautions, there is always the danger that </w:t>
      </w:r>
      <w:r>
        <w:rPr>
          <w:b/>
        </w:rPr>
        <w:t>Indigenous ontologies “can be easily neutralized as a triviality, a case study or a trinket, as powerful institutions work as self-legitimating systems that uphold broader dynamics of (neo)colonial power”</w:t>
      </w:r>
      <w:r>
        <w:t xml:space="preserve"> (2014, 30). This neocolonial strategy seems particularly evident in the </w:t>
      </w:r>
      <w:r>
        <w:rPr>
          <w:i/>
        </w:rPr>
        <w:t>Times Colonist</w:t>
      </w:r>
      <w:r>
        <w:t xml:space="preserve"> editorial quoted above, which uses the Indigenous reclamation of PKOLS as an opportunity to celebrate the history of settler colonialism, “warts and all.” By framing the matter strictly as a question of a “shared history all Vancouver Islanders should celebrate,” the </w:t>
      </w:r>
      <w:r>
        <w:rPr>
          <w:b/>
        </w:rPr>
        <w:t>politics of neutralization-through-universality</w:t>
      </w:r>
      <w:r>
        <w:t xml:space="preserve"> fetishizes both the history of colonial dispossession as well as its ongoing effects for Indigenous communities.</w:t>
      </w:r>
    </w:p>
    <w:p w14:paraId="125198DA" w14:textId="77777777" w:rsidR="00076776" w:rsidRDefault="00076776"/>
    <w:p w14:paraId="5F6198B1" w14:textId="77777777" w:rsidR="00076776" w:rsidRDefault="00000000">
      <w:r>
        <w:t>@SJ@Ally@NeoCol@SpacePlace</w:t>
      </w:r>
    </w:p>
    <w:p w14:paraId="3E2BB2AA" w14:textId="77777777" w:rsidR="00076776" w:rsidRDefault="00000000">
      <w:pPr>
        <w:ind w:left="720"/>
      </w:pPr>
      <w:r>
        <w:lastRenderedPageBreak/>
        <w:t>The act of questioning the taken-for-</w:t>
      </w:r>
      <w:proofErr w:type="spellStart"/>
      <w:r>
        <w:t>grantedness</w:t>
      </w:r>
      <w:proofErr w:type="spellEnd"/>
      <w:r>
        <w:t xml:space="preserve"> of neocolonial spatial imaginaries — while not a panacea — is a useful point of departure for settlers themselves to challenge the discourses and practices of settler colonialism with which they are complicit. </w:t>
      </w:r>
    </w:p>
    <w:p w14:paraId="2D7200F8" w14:textId="77777777" w:rsidR="00076776" w:rsidRDefault="00076776"/>
    <w:p w14:paraId="099C0270" w14:textId="77777777" w:rsidR="00076776" w:rsidRDefault="00000000">
      <w:r>
        <w:rPr>
          <w:highlight w:val="green"/>
        </w:rPr>
        <w:t>199-200</w:t>
      </w:r>
      <w:r>
        <w:t xml:space="preserve"> @Arg@Dual@Decol@IndigHist@CogImp@NeoCol@Ontol@SpacePlace@IKSG</w:t>
      </w:r>
    </w:p>
    <w:p w14:paraId="41163C15" w14:textId="77777777" w:rsidR="00076776" w:rsidRDefault="00000000">
      <w:pPr>
        <w:ind w:left="720"/>
      </w:pPr>
      <w:r>
        <w:rPr>
          <w:highlight w:val="yellow"/>
        </w:rPr>
        <w:t>…they argue that symbolic forms of decolonization — i.e., those which stop short of the full repatriation of Indigenous land — have the effect of reducing this term to an “</w:t>
      </w:r>
      <w:r>
        <w:rPr>
          <w:b/>
          <w:highlight w:val="yellow"/>
        </w:rPr>
        <w:t>empty signifier</w:t>
      </w:r>
      <w:r>
        <w:rPr>
          <w:highlight w:val="yellow"/>
        </w:rPr>
        <w:t>” (Tuck and Yang, 2012, 7).</w:t>
      </w:r>
      <w:r>
        <w:t xml:space="preserve"> Land repatriation is clearly a primary concern of decolonization movements, as Tuck and Yang (2012) rightly contend, but </w:t>
      </w:r>
      <w:r>
        <w:rPr>
          <w:b/>
        </w:rPr>
        <w:t xml:space="preserve">the opposition between “material” and “symbolic” struggles </w:t>
      </w:r>
      <w:r>
        <w:rPr>
          <w:rFonts w:ascii="Times" w:eastAsia="Times" w:hAnsi="Times" w:cs="Times"/>
          <w:b/>
          <w:color w:val="000000"/>
        </w:rPr>
        <w:t>seems particularly counterproductive, because it reinforces the Cartesian dualism of mind and matter, which has underpinned colonial ontologies of space and place.</w:t>
      </w:r>
      <w:r>
        <w:rPr>
          <w:rFonts w:ascii="Times" w:eastAsia="Times" w:hAnsi="Times" w:cs="Times"/>
          <w:color w:val="000000"/>
        </w:rPr>
        <w:t xml:space="preserve"> / When Indigenous peoples reclaim their sacred place names, the dismissal of such acts as </w:t>
      </w:r>
      <w:r>
        <w:rPr>
          <w:rFonts w:ascii="Times" w:eastAsia="Times" w:hAnsi="Times" w:cs="Times"/>
          <w:i/>
          <w:color w:val="000000"/>
        </w:rPr>
        <w:t xml:space="preserve">merely </w:t>
      </w:r>
      <w:r>
        <w:rPr>
          <w:rFonts w:ascii="Times" w:eastAsia="Times" w:hAnsi="Times" w:cs="Times"/>
          <w:color w:val="000000"/>
        </w:rPr>
        <w:t xml:space="preserve">symbolic does not </w:t>
      </w:r>
      <w:proofErr w:type="gramStart"/>
      <w:r>
        <w:rPr>
          <w:rFonts w:ascii="Times" w:eastAsia="Times" w:hAnsi="Times" w:cs="Times"/>
          <w:color w:val="000000"/>
        </w:rPr>
        <w:t>take into account</w:t>
      </w:r>
      <w:proofErr w:type="gramEnd"/>
      <w:r>
        <w:rPr>
          <w:rFonts w:ascii="Times" w:eastAsia="Times" w:hAnsi="Times" w:cs="Times"/>
          <w:color w:val="000000"/>
        </w:rPr>
        <w:t xml:space="preserve"> how Indigenous lands are themselves “</w:t>
      </w:r>
      <w:proofErr w:type="spellStart"/>
      <w:r>
        <w:rPr>
          <w:rFonts w:ascii="Times" w:eastAsia="Times" w:hAnsi="Times" w:cs="Times"/>
          <w:color w:val="000000"/>
        </w:rPr>
        <w:t>storyscapes</w:t>
      </w:r>
      <w:proofErr w:type="spellEnd"/>
      <w:r>
        <w:rPr>
          <w:rFonts w:ascii="Times" w:eastAsia="Times" w:hAnsi="Times" w:cs="Times"/>
          <w:color w:val="000000"/>
        </w:rPr>
        <w:t xml:space="preserve">” (Elsey, 2013). </w:t>
      </w:r>
      <w:r>
        <w:rPr>
          <w:rFonts w:ascii="Times" w:eastAsia="Times" w:hAnsi="Times" w:cs="Times"/>
          <w:b/>
          <w:color w:val="000000"/>
        </w:rPr>
        <w:t>The reclamation of the creation stories and symbolic identities of places is an integral part of the reassertion of Indigenous authority over lands and territories</w:t>
      </w:r>
      <w:r>
        <w:rPr>
          <w:rFonts w:ascii="Times" w:eastAsia="Times" w:hAnsi="Times" w:cs="Times"/>
          <w:color w:val="000000"/>
        </w:rPr>
        <w:t xml:space="preserve">. </w:t>
      </w:r>
    </w:p>
    <w:p w14:paraId="0D0BD0B7" w14:textId="77777777" w:rsidR="00076776" w:rsidRDefault="00076776">
      <w:pPr>
        <w:ind w:left="720"/>
        <w:rPr>
          <w:rFonts w:ascii="Times" w:eastAsia="Times" w:hAnsi="Times" w:cs="Times"/>
          <w:color w:val="000000"/>
        </w:rPr>
      </w:pPr>
    </w:p>
    <w:p w14:paraId="1952C337" w14:textId="77777777" w:rsidR="00076776" w:rsidRDefault="00000000">
      <w:pPr>
        <w:rPr>
          <w:rFonts w:ascii="Times" w:eastAsia="Times" w:hAnsi="Times" w:cs="Times"/>
          <w:color w:val="000000"/>
        </w:rPr>
      </w:pPr>
      <w:r>
        <w:rPr>
          <w:rFonts w:ascii="Times" w:eastAsia="Times" w:hAnsi="Times" w:cs="Times"/>
          <w:color w:val="000000"/>
        </w:rPr>
        <w:t>@SettPsych@Reason@Offic@CogImp@Ling</w:t>
      </w:r>
    </w:p>
    <w:p w14:paraId="1717DA71" w14:textId="77777777" w:rsidR="00076776" w:rsidRDefault="00000000">
      <w:pPr>
        <w:ind w:left="720"/>
      </w:pPr>
      <w:r>
        <w:t xml:space="preserve">Only through the intermediary expertise of Western linguists and anthropologists, it seemed, did the oral traditions of Indigenous peoples have any authority amongst the settler society. It was apparently not enough that the name PKOLS had been passed down to living W̱SÁNEĆ elders who marched up the mountain to declare its name. </w:t>
      </w:r>
    </w:p>
    <w:p w14:paraId="0923E324" w14:textId="77777777" w:rsidR="00076776" w:rsidRDefault="00076776"/>
    <w:p w14:paraId="40CD977F" w14:textId="77777777" w:rsidR="00076776" w:rsidRDefault="00000000">
      <w:r>
        <w:t>201 @</w:t>
      </w:r>
      <w:proofErr w:type="gramStart"/>
      <w:r>
        <w:t>Resist!@</w:t>
      </w:r>
      <w:proofErr w:type="gramEnd"/>
      <w:r>
        <w:t>Contracolonial@Narr</w:t>
      </w:r>
    </w:p>
    <w:p w14:paraId="2A39BE8D" w14:textId="77777777" w:rsidR="00076776" w:rsidRDefault="00000000">
      <w:pPr>
        <w:ind w:left="720"/>
      </w:pPr>
      <w:r>
        <w:t xml:space="preserve">These insurgent strategies of direct action are fundamental to Indigenous efforts that shift the political terrain away from the “narrative in which the Settler’s power is the fundamental reference and assumption, inherently limiting Indigenous freedom and imposing a view of the world that is but an outcome or perspective on that power” (Alfred and </w:t>
      </w:r>
      <w:r>
        <w:rPr>
          <w:highlight w:val="magenta"/>
        </w:rPr>
        <w:t>Corntassel</w:t>
      </w:r>
      <w:r>
        <w:t xml:space="preserve">, 2005, 601). </w:t>
      </w:r>
    </w:p>
    <w:p w14:paraId="044FF1C8" w14:textId="77777777" w:rsidR="00076776" w:rsidRDefault="00076776"/>
    <w:p w14:paraId="09FB2EDF" w14:textId="77777777" w:rsidR="00076776" w:rsidRDefault="00000000">
      <w:r>
        <w:t>202 @Arg@</w:t>
      </w:r>
      <w:proofErr w:type="gramStart"/>
      <w:r>
        <w:t>Resist!@</w:t>
      </w:r>
      <w:proofErr w:type="gramEnd"/>
      <w:r>
        <w:t>Hegem@Topo</w:t>
      </w:r>
    </w:p>
    <w:p w14:paraId="0441D0BF" w14:textId="77777777" w:rsidR="00076776" w:rsidRDefault="00000000">
      <w:pPr>
        <w:ind w:left="720"/>
      </w:pPr>
      <w:r>
        <w:t xml:space="preserve">I would like to suggest here that our conception of the horizon of toponymic politics should also extend </w:t>
      </w:r>
      <w:r>
        <w:rPr>
          <w:i/>
        </w:rPr>
        <w:t xml:space="preserve">beyond </w:t>
      </w:r>
      <w:r>
        <w:t xml:space="preserve">the politics of recognition. If the </w:t>
      </w:r>
      <w:proofErr w:type="gramStart"/>
      <w:r>
        <w:t>ultimate goal</w:t>
      </w:r>
      <w:proofErr w:type="gramEnd"/>
      <w:r>
        <w:t xml:space="preserve"> of toponymic activism is simply to achieve recognition by an institutional authority to combat procedural and distributive injustices, doesn’t the act of “playing the game” of institutional politics further naturalize and legitimize the monopoly power that such an institution claims to possess over the authorization of place-identities?</w:t>
      </w:r>
    </w:p>
    <w:p w14:paraId="6BF1D78C" w14:textId="77777777" w:rsidR="00076776" w:rsidRDefault="00076776"/>
    <w:p w14:paraId="37E6FD7C" w14:textId="77777777" w:rsidR="00076776" w:rsidRDefault="00000000">
      <w:r>
        <w:t>202 @Arg@</w:t>
      </w:r>
      <w:proofErr w:type="gramStart"/>
      <w:r>
        <w:t>Resist!@</w:t>
      </w:r>
      <w:proofErr w:type="gramEnd"/>
      <w:r>
        <w:t>Hegem@Topo</w:t>
      </w:r>
    </w:p>
    <w:p w14:paraId="33975FFB" w14:textId="77777777" w:rsidR="00076776" w:rsidRDefault="00000000">
      <w:pPr>
        <w:ind w:left="720"/>
      </w:pPr>
      <w:r>
        <w:t xml:space="preserve">We must therefore be mindful of the limits of </w:t>
      </w:r>
      <w:proofErr w:type="gramStart"/>
      <w:r>
        <w:t>officially-sanctioned</w:t>
      </w:r>
      <w:proofErr w:type="gramEnd"/>
      <w:r>
        <w:t xml:space="preserve"> toponymic systems, and the recognition they confer, while at the same time revalorizing the performative force that </w:t>
      </w:r>
      <w:proofErr w:type="spellStart"/>
      <w:r>
        <w:t>everyday</w:t>
      </w:r>
      <w:proofErr w:type="spellEnd"/>
      <w:r>
        <w:t>, embodied speech acts can play in undermining institutional assertions of a monopoly over legitimate forms of toponymic inscription.</w:t>
      </w:r>
    </w:p>
    <w:p w14:paraId="5149E32B" w14:textId="77777777" w:rsidR="00076776" w:rsidRDefault="00076776"/>
    <w:p w14:paraId="1A9CD14C" w14:textId="77777777" w:rsidR="00076776" w:rsidRDefault="00076776"/>
    <w:p w14:paraId="0D1620F0" w14:textId="77777777" w:rsidR="00076776" w:rsidRDefault="00000000">
      <w:pPr>
        <w:pStyle w:val="Heading2"/>
      </w:pPr>
      <w:r>
        <w:lastRenderedPageBreak/>
        <w:t>Secondary quotes</w:t>
      </w:r>
    </w:p>
    <w:p w14:paraId="24FA3FE0" w14:textId="77777777" w:rsidR="00076776" w:rsidRDefault="00000000">
      <w:r>
        <w:t xml:space="preserve">188 PKOLS means “White Rock” or “White Head” / </w:t>
      </w:r>
      <w:proofErr w:type="gramStart"/>
      <w:r>
        <w:t>ȾÁ,UTW̱</w:t>
      </w:r>
      <w:proofErr w:type="gramEnd"/>
      <w:r>
        <w:t xml:space="preserve"> (Tsawout) hereditary chief WEC’KINEM (Eric Pelkey), among others, welcomed the crowd that had gathered. / 189 </w:t>
      </w:r>
      <w:r>
        <w:rPr>
          <w:color w:val="000000"/>
        </w:rPr>
        <w:t xml:space="preserve">W̱JOȽEȽP </w:t>
      </w:r>
      <w:r>
        <w:rPr>
          <w:rFonts w:ascii="Times" w:eastAsia="Times" w:hAnsi="Times" w:cs="Times"/>
          <w:color w:val="000000"/>
        </w:rPr>
        <w:t xml:space="preserve">(Tsartlip) artist TEMOSEN (Charles Elliot) quote on, among other things, Idle No More / 194 … recognition premised on self-actualization, direct action, and the resurgence of cultural practices … / 194-196 Joseph Trutch renaming / 196 Trutch and the fear of “erasure of (settler-colonial) history” / </w:t>
      </w:r>
      <w:r>
        <w:rPr>
          <w:rFonts w:ascii="Times" w:eastAsia="Times" w:hAnsi="Times" w:cs="Times"/>
          <w:i/>
          <w:color w:val="000000"/>
        </w:rPr>
        <w:t>Time Colonist</w:t>
      </w:r>
      <w:r>
        <w:rPr>
          <w:rFonts w:ascii="Times" w:eastAsia="Times" w:hAnsi="Times" w:cs="Times"/>
          <w:color w:val="000000"/>
        </w:rPr>
        <w:t xml:space="preserve"> editorial / </w:t>
      </w:r>
      <w:r>
        <w:t>199 “Mount Doug” vs. PKOLS &amp; internalized discursive practices of settler colonialism / 200 Songhees vs. W̱SÁNEĆ names of “</w:t>
      </w:r>
      <w:proofErr w:type="spellStart"/>
      <w:r>
        <w:t>Pkaals</w:t>
      </w:r>
      <w:proofErr w:type="spellEnd"/>
      <w:r>
        <w:t xml:space="preserve"> (</w:t>
      </w:r>
      <w:proofErr w:type="spellStart"/>
      <w:r>
        <w:t>p’q’als</w:t>
      </w:r>
      <w:proofErr w:type="spellEnd"/>
      <w:r>
        <w:t xml:space="preserve">) for a nearby mountain known by the settler society as Mount Tolmie (Dussault, 2013).” / … </w:t>
      </w:r>
      <w:r>
        <w:rPr>
          <w:rFonts w:ascii="Times" w:eastAsia="Times" w:hAnsi="Times" w:cs="Times"/>
          <w:color w:val="000000"/>
        </w:rPr>
        <w:t xml:space="preserve">positioning the institutions of the settler-colonial state as the arbiter over geographical naming … / 201 …the question of what role non-Indigenous scholar-activists can play in the toponymic politics of decolonization. … Indigenous peoples do not require the “expertise” of non- Indigenous scholars and activists </w:t>
      </w:r>
      <w:proofErr w:type="gramStart"/>
      <w:r>
        <w:rPr>
          <w:rFonts w:ascii="Times" w:eastAsia="Times" w:hAnsi="Times" w:cs="Times"/>
          <w:color w:val="000000"/>
        </w:rPr>
        <w:t>in order to</w:t>
      </w:r>
      <w:proofErr w:type="gramEnd"/>
      <w:r>
        <w:rPr>
          <w:rFonts w:ascii="Times" w:eastAsia="Times" w:hAnsi="Times" w:cs="Times"/>
          <w:color w:val="000000"/>
        </w:rPr>
        <w:t xml:space="preserve"> develop critical theories and practices that challenge settler colonialism through the reclaiming of Indigenous toponymies or by other means. / 202 </w:t>
      </w:r>
      <w:proofErr w:type="gramStart"/>
      <w:r>
        <w:rPr>
          <w:rFonts w:ascii="Times" w:eastAsia="Times" w:hAnsi="Times" w:cs="Times"/>
          <w:color w:val="000000"/>
        </w:rPr>
        <w:t>authority</w:t>
      </w:r>
      <w:proofErr w:type="gramEnd"/>
      <w:r>
        <w:rPr>
          <w:rFonts w:ascii="Times" w:eastAsia="Times" w:hAnsi="Times" w:cs="Times"/>
          <w:color w:val="000000"/>
        </w:rPr>
        <w:t xml:space="preserve"> vs. legitimacy. </w:t>
      </w:r>
    </w:p>
    <w:p w14:paraId="2F71400E" w14:textId="77777777" w:rsidR="00076776" w:rsidRDefault="00076776"/>
    <w:p w14:paraId="26B31E19" w14:textId="77777777" w:rsidR="00076776" w:rsidRDefault="00000000">
      <w:pPr>
        <w:pStyle w:val="Heading2"/>
      </w:pPr>
      <w:r>
        <w:t>Notes</w:t>
      </w:r>
    </w:p>
    <w:p w14:paraId="409663B9" w14:textId="77777777" w:rsidR="00076776" w:rsidRDefault="00000000">
      <w:r>
        <w:t xml:space="preserve">Plenty to build on in this essay, which offers </w:t>
      </w:r>
      <w:proofErr w:type="gramStart"/>
      <w:r>
        <w:t>a number of</w:t>
      </w:r>
      <w:proofErr w:type="gramEnd"/>
      <w:r>
        <w:t xml:space="preserve"> useful terms. Digs into ideas of “authorized” vs. “legitimacy” in an @ISr-context. </w:t>
      </w:r>
    </w:p>
    <w:p w14:paraId="647C8459" w14:textId="77777777" w:rsidR="00076776" w:rsidRDefault="00000000">
      <w:pPr>
        <w:pStyle w:val="Heading1"/>
      </w:pPr>
      <w:bookmarkStart w:id="41" w:name="_heading=h.3fwokq0" w:colFirst="0" w:colLast="0"/>
      <w:bookmarkEnd w:id="41"/>
      <w:r>
        <w:t>(2018) Engel, “Deep Mapping: Space, Place, and Narrative as Urban Interface”</w:t>
      </w:r>
    </w:p>
    <w:p w14:paraId="17EE49DD" w14:textId="77777777" w:rsidR="00076776" w:rsidRDefault="00076776"/>
    <w:p w14:paraId="2B945C9B" w14:textId="77777777" w:rsidR="00076776" w:rsidRDefault="00000000">
      <w:pPr>
        <w:pStyle w:val="Heading2"/>
      </w:pPr>
      <w:r>
        <w:t>Abstract</w:t>
      </w:r>
    </w:p>
    <w:p w14:paraId="75B17E6C" w14:textId="77777777" w:rsidR="00076776" w:rsidRDefault="00000000">
      <w:r>
        <w:t xml:space="preserve">A look at the ways in which “deep mapping” challenges orthodoxies in cartographic and mapping practices. </w:t>
      </w:r>
    </w:p>
    <w:p w14:paraId="354BE674" w14:textId="77777777" w:rsidR="00076776" w:rsidRDefault="00076776"/>
    <w:p w14:paraId="3BD4B54D" w14:textId="77777777" w:rsidR="00076776" w:rsidRDefault="00000000">
      <w:pPr>
        <w:pStyle w:val="Heading2"/>
      </w:pPr>
      <w:r>
        <w:t>Key words</w:t>
      </w:r>
    </w:p>
    <w:p w14:paraId="6A3C178C" w14:textId="77777777" w:rsidR="00076776" w:rsidRDefault="00000000">
      <w:r>
        <w:t>maps, cartography, GIS, spatial humanities, methodologies, space and place</w:t>
      </w:r>
    </w:p>
    <w:p w14:paraId="1E604821" w14:textId="77777777" w:rsidR="00076776" w:rsidRDefault="00076776"/>
    <w:p w14:paraId="6EBBCD89" w14:textId="77777777" w:rsidR="00076776" w:rsidRDefault="00000000">
      <w:pPr>
        <w:pStyle w:val="Heading2"/>
      </w:pPr>
      <w:r>
        <w:t>Essential quote</w:t>
      </w:r>
    </w:p>
    <w:p w14:paraId="35C8FFC6" w14:textId="77777777" w:rsidR="00076776" w:rsidRDefault="00000000">
      <w:r>
        <w:t xml:space="preserve">214: As the Polis Center’s definition of deep mapping contends, “Where traditional maps serve as statements, deep maps serve as conversations” (n.d.). Deep mapping is a way to </w:t>
      </w:r>
      <w:proofErr w:type="gramStart"/>
      <w:r>
        <w:t>open up</w:t>
      </w:r>
      <w:proofErr w:type="gramEnd"/>
      <w:r>
        <w:t xml:space="preserve"> questions rather than resolving them, to communicate </w:t>
      </w:r>
      <w:r>
        <w:rPr>
          <w:i/>
        </w:rPr>
        <w:t>knowledge</w:t>
      </w:r>
      <w:r>
        <w:t xml:space="preserve"> rather than simply </w:t>
      </w:r>
      <w:r>
        <w:rPr>
          <w:i/>
        </w:rPr>
        <w:t>information</w:t>
      </w:r>
      <w:r>
        <w:t>.</w:t>
      </w:r>
    </w:p>
    <w:p w14:paraId="7B092445" w14:textId="77777777" w:rsidR="00076776" w:rsidRDefault="00076776"/>
    <w:p w14:paraId="28C16700" w14:textId="77777777" w:rsidR="00076776" w:rsidRDefault="00000000">
      <w:pPr>
        <w:pStyle w:val="Heading2"/>
      </w:pPr>
      <w:r>
        <w:t>Terms</w:t>
      </w:r>
    </w:p>
    <w:p w14:paraId="1E992F1D" w14:textId="77777777" w:rsidR="00076776" w:rsidRDefault="00000000">
      <w:r>
        <w:rPr>
          <w:highlight w:val="green"/>
        </w:rPr>
        <w:t>214</w:t>
      </w:r>
      <w:r>
        <w:t xml:space="preserve">: </w:t>
      </w:r>
      <w:r>
        <w:rPr>
          <w:b/>
        </w:rPr>
        <w:t>indexicality</w:t>
      </w:r>
      <w:r>
        <w:t xml:space="preserve">: when a map’s “embeddedness” becomes ubiquitous, “as to become invisible,” and is no longer “solely a representational object but rather an embedded technology.” And the map “makes a truth claim about what is “there,” and it tells </w:t>
      </w:r>
      <w:proofErr w:type="gramStart"/>
      <w:r>
        <w:t>us</w:t>
      </w:r>
      <w:proofErr w:type="gramEnd"/>
      <w:r>
        <w:t xml:space="preserve"> “you are here.” Like a technological begging of the question, it transparently reflects that which it also represents.”</w:t>
      </w:r>
    </w:p>
    <w:p w14:paraId="75B12347" w14:textId="77777777" w:rsidR="00076776" w:rsidRDefault="00000000">
      <w:r>
        <w:rPr>
          <w:highlight w:val="green"/>
        </w:rPr>
        <w:lastRenderedPageBreak/>
        <w:t>215</w:t>
      </w:r>
      <w:r>
        <w:t xml:space="preserve">: </w:t>
      </w:r>
      <w:r>
        <w:rPr>
          <w:b/>
        </w:rPr>
        <w:t>deep mapping</w:t>
      </w:r>
      <w:r>
        <w:t xml:space="preserve">: “… a practice that challenges the empirical and representational assumptions of maps. It contests the cartographic bias of what might “count” as a map while simultaneously building palimpsests, narratives, cartographies, and critical interfaces to space and place. [214] Rather than relying on the power of the map to reveal what is already there, ‘deep mapping’ foregrounds the fact that the affordances of the map can be used to construct the complex stories of human thought, culture, history, and production—in short, that </w:t>
      </w:r>
      <w:r>
        <w:rPr>
          <w:b/>
        </w:rPr>
        <w:t>the objects of humanities study can be analyzed, critiqued, understood, and articulated through a spatial interface as much as through a linguistic one</w:t>
      </w:r>
      <w:r>
        <w:t xml:space="preserve">. … the deep map … acknowledges its complexity, conflict, politics, and history in its very foundation. As the Polis Center’s definition of deep mapping contends, “Where traditional maps serve as statements, deep maps serve as conversations” (n.d.). Deep mapping is a way to </w:t>
      </w:r>
      <w:proofErr w:type="gramStart"/>
      <w:r>
        <w:t>open up</w:t>
      </w:r>
      <w:proofErr w:type="gramEnd"/>
      <w:r>
        <w:t xml:space="preserve"> questions rather than resolving them, to communicate </w:t>
      </w:r>
      <w:r>
        <w:rPr>
          <w:i/>
        </w:rPr>
        <w:t>knowledge</w:t>
      </w:r>
      <w:r>
        <w:t xml:space="preserve"> rather than simply </w:t>
      </w:r>
      <w:r>
        <w:rPr>
          <w:i/>
        </w:rPr>
        <w:t>information</w:t>
      </w:r>
      <w:r>
        <w:t xml:space="preserve">. [218-19] “[deep mapping] combines the spatial humanities’ scholarly treatment of “space” as an analytic with neogeography’s interest in an open and participatory </w:t>
      </w:r>
      <w:proofErr w:type="spellStart"/>
      <w:r>
        <w:t>geoweb</w:t>
      </w:r>
      <w:proofErr w:type="spellEnd"/>
      <w:r>
        <w:t xml:space="preserve"> and counter-mapping’s self-conscious remaking of maps to challenge dominant power structures and discourses. In so doing, it interrogates not just the scholarly concepts of space and place, but also the very practice of mapping itself.”</w:t>
      </w:r>
    </w:p>
    <w:p w14:paraId="27A36064" w14:textId="77777777" w:rsidR="00076776" w:rsidRDefault="00000000">
      <w:r>
        <w:rPr>
          <w:highlight w:val="green"/>
        </w:rPr>
        <w:t>216</w:t>
      </w:r>
      <w:r>
        <w:t xml:space="preserve">-17 @WIAM </w:t>
      </w:r>
      <w:r>
        <w:rPr>
          <w:b/>
          <w:highlight w:val="green"/>
        </w:rPr>
        <w:t>place</w:t>
      </w:r>
      <w:r>
        <w:t xml:space="preserve">: according to </w:t>
      </w:r>
      <w:r>
        <w:rPr>
          <w:highlight w:val="magenta"/>
        </w:rPr>
        <w:t>Doreen Massey</w:t>
      </w:r>
      <w:r>
        <w:t xml:space="preserve">: “… the concept of ‘place’ as a construction and constellation of social relations weaving together at a particular locus. … Place is, indeed, a meeting point. … </w:t>
      </w:r>
      <w:r>
        <w:rPr>
          <w:b/>
        </w:rPr>
        <w:t>marks an important departure from conventional geographic thinking</w:t>
      </w:r>
      <w:r>
        <w:t xml:space="preserve"> for two reasons: </w:t>
      </w:r>
      <w:r>
        <w:rPr>
          <w:b/>
        </w:rPr>
        <w:t>first</w:t>
      </w:r>
      <w:r>
        <w:t xml:space="preserve">, it challenges the idea that geography can adequately describe (in both senses of that term) that which it might “contain.” </w:t>
      </w:r>
      <w:r>
        <w:rPr>
          <w:b/>
        </w:rPr>
        <w:t>Second</w:t>
      </w:r>
      <w:r>
        <w:t xml:space="preserve">, instead of a single focus on the relation between humans and the spaces they occupy, as embodied in human geography, Massey’s work also put spaces into dialogue with other spaces, allowing us to think of </w:t>
      </w:r>
      <w:r>
        <w:rPr>
          <w:b/>
        </w:rPr>
        <w:t>space as articulated moments in networks of relations and understandings</w:t>
      </w:r>
      <w:r>
        <w:t xml:space="preserve"> (1994: 7).” Borrows from </w:t>
      </w:r>
      <w:r>
        <w:rPr>
          <w:highlight w:val="magenta"/>
        </w:rPr>
        <w:t>Foucault</w:t>
      </w:r>
      <w:r>
        <w:t xml:space="preserve">: “We do not live inside a void that could be colored with diverse shades of light, we live inside a set of relations that delineates sites which are irreducible to one another and absolutely not superimposable on one another” (“Of Other Spaces: Utopias and Heterotopias”). </w:t>
      </w:r>
    </w:p>
    <w:p w14:paraId="41B5B112" w14:textId="77777777" w:rsidR="00076776" w:rsidRDefault="00000000">
      <w:r>
        <w:t xml:space="preserve">217 </w:t>
      </w:r>
      <w:proofErr w:type="gramStart"/>
      <w:r>
        <w:rPr>
          <w:b/>
        </w:rPr>
        <w:t>space</w:t>
      </w:r>
      <w:proofErr w:type="gramEnd"/>
      <w:r>
        <w:t xml:space="preserve">: “… not an empty container for human actions, a kind of void to be geometrically demarcated and filled, but rather a set of relations. Human action and meaning do not straightforwardly occur within space; space is co-constitutive of those very actions. Space is multiple and complex, already inscribed with meaning, and generates relations as much as it ‘houses’ them.” </w:t>
      </w:r>
    </w:p>
    <w:p w14:paraId="7256EA16" w14:textId="77777777" w:rsidR="00076776" w:rsidRDefault="00000000">
      <w:r>
        <w:rPr>
          <w:highlight w:val="green"/>
        </w:rPr>
        <w:t>218</w:t>
      </w:r>
      <w:r>
        <w:t xml:space="preserve"> </w:t>
      </w:r>
      <w:r>
        <w:rPr>
          <w:b/>
        </w:rPr>
        <w:t>counter-mapping</w:t>
      </w:r>
      <w:r>
        <w:t>: “Counter-mapping is premised on the argument that maps are expressions of power, and that they most frequently serve dominant power structures. As its name suggests, counter-mapping aims instead to map places and territories counter to dominant power structures, and to use the map as a tool of politically engaged discourse.”</w:t>
      </w:r>
    </w:p>
    <w:p w14:paraId="0B5F3313" w14:textId="77777777" w:rsidR="00076776" w:rsidRDefault="00000000">
      <w:r>
        <w:t xml:space="preserve">218: </w:t>
      </w:r>
      <w:r>
        <w:rPr>
          <w:b/>
          <w:highlight w:val="green"/>
        </w:rPr>
        <w:t>neogeography</w:t>
      </w:r>
      <w:r>
        <w:t>: “… neogeography ‘consists of a set of techniques and tools that fall outside the realm of traditional GIS . . . Essentially, Neogeography is about people using and creating their own maps, on their own terms’ (Turner 2006: 2–3). Neogeography principally employs free online mapping tools, the so-called ‘</w:t>
      </w:r>
      <w:proofErr w:type="spellStart"/>
      <w:r>
        <w:t>geoweb</w:t>
      </w:r>
      <w:proofErr w:type="spellEnd"/>
      <w:r>
        <w:t xml:space="preserve">,’ like Google Maps or Open Street Map, eschewing expensive applications like ArcGIS; it also relies heavily free and open-access data sets to produce maps.” </w:t>
      </w:r>
    </w:p>
    <w:p w14:paraId="5E3714BA" w14:textId="77777777" w:rsidR="00076776" w:rsidRDefault="00000000">
      <w:pPr>
        <w:ind w:left="720"/>
      </w:pPr>
      <w:r>
        <w:t xml:space="preserve">Source: Turner, A. (2006) </w:t>
      </w:r>
      <w:r>
        <w:rPr>
          <w:i/>
        </w:rPr>
        <w:t>Introduction to Neogeography</w:t>
      </w:r>
      <w:r>
        <w:t>, Sebastopol, CA: O’Reilly Media, retrieved from highearthorbit.com/neogeography/book.pdf.</w:t>
      </w:r>
    </w:p>
    <w:p w14:paraId="0222FF96" w14:textId="77777777" w:rsidR="00076776" w:rsidRDefault="00000000">
      <w:r>
        <w:t xml:space="preserve">218: </w:t>
      </w:r>
      <w:r>
        <w:rPr>
          <w:b/>
        </w:rPr>
        <w:t>spatial humanities</w:t>
      </w:r>
      <w:r>
        <w:t xml:space="preserve"> (and deep mapping): “… less strictly focused on the creation of actual maps and instead conduct research that takes the spatial as a starting point for knowledge </w:t>
      </w:r>
      <w:r>
        <w:lastRenderedPageBreak/>
        <w:t xml:space="preserve">production. They concern themselves with a broad range of texts, including narrative, visual, and cartographic texts, to engage in humanistic inquiry in a new way. … the spatial humanities as a more formal practice, where </w:t>
      </w:r>
      <w:proofErr w:type="spellStart"/>
      <w:r>
        <w:t>geotools</w:t>
      </w:r>
      <w:proofErr w:type="spellEnd"/>
      <w:r>
        <w:t>, be they professional-level GIS or consumer-level Google maps, are used to address the conventional questions and problems of the humanities.”</w:t>
      </w:r>
    </w:p>
    <w:p w14:paraId="13B3D312" w14:textId="77777777" w:rsidR="00076776" w:rsidRDefault="00000000">
      <w:r>
        <w:rPr>
          <w:highlight w:val="green"/>
        </w:rPr>
        <w:t>219</w:t>
      </w:r>
      <w:r>
        <w:t xml:space="preserve">: </w:t>
      </w:r>
      <w:r>
        <w:rPr>
          <w:b/>
        </w:rPr>
        <w:t>thick mapping</w:t>
      </w:r>
      <w:r>
        <w:t>: based on work by Todd Presner, David Shepard, and Yoh Kawano at UCLA: “…rather than deep mapping. ‘Built on the idea that every past is a place’ (</w:t>
      </w:r>
      <w:proofErr w:type="spellStart"/>
      <w:r>
        <w:t>Presner</w:t>
      </w:r>
      <w:proofErr w:type="spellEnd"/>
      <w:r>
        <w:t xml:space="preserve"> 2009), </w:t>
      </w:r>
      <w:proofErr w:type="spellStart"/>
      <w:r>
        <w:rPr>
          <w:i/>
        </w:rPr>
        <w:t>HyperCities</w:t>
      </w:r>
      <w:proofErr w:type="spellEnd"/>
      <w:r>
        <w:t xml:space="preserve"> allows users to place a wide variety of media objects, including images, historical maps, texts, and tweets, into a map interface to explore the layered histories of city space. … The result is the ability to construct a multilayered history of a small geographic area and show changes over time and space.”</w:t>
      </w:r>
    </w:p>
    <w:p w14:paraId="74B50825" w14:textId="77777777" w:rsidR="00076776" w:rsidRDefault="00076776"/>
    <w:p w14:paraId="60066388" w14:textId="77777777" w:rsidR="00076776" w:rsidRDefault="00000000">
      <w:pPr>
        <w:pStyle w:val="Heading2"/>
      </w:pPr>
      <w:r>
        <w:t>Core quotes</w:t>
      </w:r>
    </w:p>
    <w:p w14:paraId="70254E6A" w14:textId="77777777" w:rsidR="00076776" w:rsidRDefault="00076776"/>
    <w:p w14:paraId="623E3BEE" w14:textId="77777777" w:rsidR="00076776" w:rsidRDefault="00000000">
      <w:r>
        <w:t>215 @Map@SpacePlace@Ontol@Perf@Hist</w:t>
      </w:r>
    </w:p>
    <w:p w14:paraId="088E0A3B" w14:textId="77777777" w:rsidR="00076776" w:rsidRDefault="00000000">
      <w:pPr>
        <w:ind w:left="720"/>
      </w:pPr>
      <w:r>
        <w:t xml:space="preserve">… mapping and cartography (for it is important to remember that they are not necessarily the same thing) in their own historical context to situate them </w:t>
      </w:r>
      <w:r>
        <w:rPr>
          <w:b/>
        </w:rPr>
        <w:t xml:space="preserve">as </w:t>
      </w:r>
      <w:r>
        <w:rPr>
          <w:b/>
          <w:i/>
        </w:rPr>
        <w:t>productions</w:t>
      </w:r>
      <w:r>
        <w:rPr>
          <w:b/>
        </w:rPr>
        <w:t xml:space="preserve"> rather than simply </w:t>
      </w:r>
      <w:r>
        <w:rPr>
          <w:b/>
          <w:i/>
        </w:rPr>
        <w:t>reflections</w:t>
      </w:r>
      <w:r>
        <w:t>.</w:t>
      </w:r>
    </w:p>
    <w:p w14:paraId="4C2B3B12" w14:textId="77777777" w:rsidR="00076776" w:rsidRDefault="00076776"/>
    <w:p w14:paraId="3185FFE0" w14:textId="77777777" w:rsidR="00076776" w:rsidRDefault="00000000">
      <w:r>
        <w:t>@K?@Link:</w:t>
      </w:r>
      <w:r>
        <w:rPr>
          <w:highlight w:val="magenta"/>
        </w:rPr>
        <w:t>Rose-Redwood</w:t>
      </w:r>
      <w:r>
        <w:t xml:space="preserve">: Could we link this notion, maps “as </w:t>
      </w:r>
      <w:r>
        <w:rPr>
          <w:i/>
        </w:rPr>
        <w:t>productions</w:t>
      </w:r>
      <w:r>
        <w:t xml:space="preserve"> rather than simply </w:t>
      </w:r>
      <w:r>
        <w:rPr>
          <w:i/>
        </w:rPr>
        <w:t>reflections</w:t>
      </w:r>
      <w:r>
        <w:t xml:space="preserve">,” with what R-R (?) has to say about the performative nature of maps; in other words, could we say that they “perform” culture, and if so, to what extent, and in what ways? Engel touches on this through Denis Wood: </w:t>
      </w:r>
    </w:p>
    <w:p w14:paraId="7CB60226" w14:textId="77777777" w:rsidR="00076776" w:rsidRDefault="00076776"/>
    <w:p w14:paraId="6D7D5A79" w14:textId="77777777" w:rsidR="00076776" w:rsidRDefault="00000000">
      <w:pPr>
        <w:ind w:left="720"/>
      </w:pPr>
      <w:r>
        <w:t xml:space="preserve">Denis Wood (2010) argues that </w:t>
      </w:r>
      <w:r>
        <w:rPr>
          <w:b/>
        </w:rPr>
        <w:t>the map is a performative technology</w:t>
      </w:r>
      <w:r>
        <w:t xml:space="preserve">. … the concomitant rise of the map and the </w:t>
      </w:r>
      <w:proofErr w:type="gramStart"/>
      <w:r>
        <w:t>nation, and</w:t>
      </w:r>
      <w:proofErr w:type="gramEnd"/>
      <w:r>
        <w:t xml:space="preserve"> contends that </w:t>
      </w:r>
      <w:r>
        <w:rPr>
          <w:b/>
        </w:rPr>
        <w:t xml:space="preserve">the map is the unique technology that calls into being the nation state, giving “the elusive idea of the state concrete form” </w:t>
      </w:r>
      <w:r>
        <w:t>(31).</w:t>
      </w:r>
    </w:p>
    <w:p w14:paraId="7D04B8BB" w14:textId="77777777" w:rsidR="00076776" w:rsidRDefault="00076776"/>
    <w:p w14:paraId="392FE9FA" w14:textId="77777777" w:rsidR="00076776" w:rsidRDefault="00000000">
      <w:r>
        <w:t>@WIAM@GIS@SpacePlace@SettPsych@Ontol@Reason</w:t>
      </w:r>
    </w:p>
    <w:p w14:paraId="7E2FE206" w14:textId="77777777" w:rsidR="00076776" w:rsidRDefault="00000000">
      <w:r>
        <w:t xml:space="preserve">That we can “know” an “everywhere” through the godly eye of satellites… </w:t>
      </w:r>
    </w:p>
    <w:p w14:paraId="0DFF07F4" w14:textId="77777777" w:rsidR="00076776" w:rsidRDefault="00076776"/>
    <w:p w14:paraId="0BE0D437" w14:textId="77777777" w:rsidR="00076776" w:rsidRDefault="00000000">
      <w:pPr>
        <w:ind w:left="720"/>
      </w:pPr>
      <w:r>
        <w:t xml:space="preserve">“… </w:t>
      </w:r>
      <w:r>
        <w:rPr>
          <w:b/>
        </w:rPr>
        <w:t>the advent of GIS in the mid-twentieth century, further extend this prioritization of empiricism. GIS is an entire computational system for collecting, storing, and analyzing data about space</w:t>
      </w:r>
      <w:r>
        <w:t>. … [216] The mathematical and predictive possibilities of GIS are key reasons for its expanding influence and industry integration. Yet the advent and deployment of terms like “data” and “computation” solidify and extend the truth claim of a map. Its geometric and mathematical basis found a logical extension in computation.</w:t>
      </w:r>
    </w:p>
    <w:p w14:paraId="4B39FAC7" w14:textId="77777777" w:rsidR="00076776" w:rsidRDefault="00076776"/>
    <w:p w14:paraId="0A5671FF" w14:textId="77777777" w:rsidR="00076776" w:rsidRDefault="00000000">
      <w:r>
        <w:t>217 @SpacePlace@Reason@Ontol</w:t>
      </w:r>
    </w:p>
    <w:p w14:paraId="316004FA" w14:textId="77777777" w:rsidR="00076776" w:rsidRDefault="00000000">
      <w:pPr>
        <w:ind w:left="720"/>
      </w:pPr>
      <w:r>
        <w:rPr>
          <w:highlight w:val="magenta"/>
        </w:rPr>
        <w:t>Henri Lefebvre</w:t>
      </w:r>
      <w:r>
        <w:t xml:space="preserve"> in </w:t>
      </w:r>
      <w:r>
        <w:rPr>
          <w:i/>
        </w:rPr>
        <w:t xml:space="preserve">The Production of Space </w:t>
      </w:r>
      <w:r>
        <w:t xml:space="preserve">(1992 [1974]) is likewise interested in freeing the concept of space from its perception as not only geometric and mathematical (i.e., </w:t>
      </w:r>
      <w:r>
        <w:rPr>
          <w:i/>
        </w:rPr>
        <w:t>physical space</w:t>
      </w:r>
      <w:r>
        <w:t>) but also a metaphorical mise-</w:t>
      </w:r>
      <w:proofErr w:type="spellStart"/>
      <w:r>
        <w:t>en</w:t>
      </w:r>
      <w:proofErr w:type="spellEnd"/>
      <w:r>
        <w:t>-</w:t>
      </w:r>
      <w:proofErr w:type="spellStart"/>
      <w:r>
        <w:t>scène</w:t>
      </w:r>
      <w:proofErr w:type="spellEnd"/>
      <w:r>
        <w:t xml:space="preserve"> for knowledge and ideas (i.e., </w:t>
      </w:r>
      <w:r>
        <w:rPr>
          <w:i/>
        </w:rPr>
        <w:t>mental space</w:t>
      </w:r>
      <w:r>
        <w:t xml:space="preserve">). Lefebvre instead theorizes a third term, </w:t>
      </w:r>
      <w:r>
        <w:rPr>
          <w:i/>
        </w:rPr>
        <w:t>social space</w:t>
      </w:r>
      <w:r>
        <w:t>, which proposes that space is produced by social actions and actors.</w:t>
      </w:r>
    </w:p>
    <w:p w14:paraId="4BABAD48" w14:textId="77777777" w:rsidR="00076776" w:rsidRDefault="00076776"/>
    <w:p w14:paraId="1423816B" w14:textId="77777777" w:rsidR="00076776" w:rsidRDefault="00000000">
      <w:r>
        <w:rPr>
          <w:highlight w:val="green"/>
        </w:rPr>
        <w:lastRenderedPageBreak/>
        <w:t>@GIS</w:t>
      </w:r>
      <w:r>
        <w:t>@SpacePlace@Epistem</w:t>
      </w:r>
    </w:p>
    <w:p w14:paraId="3128ACAE" w14:textId="77777777" w:rsidR="00076776" w:rsidRDefault="00000000">
      <w:pPr>
        <w:ind w:left="720"/>
      </w:pPr>
      <w:r>
        <w:t xml:space="preserve">These new understandings of space occur contemporaneously with the technological developments we looked at earlier: computer-based mapping technologies and GIS. The result of their union is an interest in producing maps that account for more nuanced analyses of space </w:t>
      </w:r>
      <w:proofErr w:type="gramStart"/>
      <w:r>
        <w:t>and also</w:t>
      </w:r>
      <w:proofErr w:type="gramEnd"/>
      <w:r>
        <w:t xml:space="preserve"> represent spaces differently than strict empirical or indexical approaches. If, as </w:t>
      </w:r>
      <w:r>
        <w:rPr>
          <w:highlight w:val="magenta"/>
        </w:rPr>
        <w:t>Michel de Certeau</w:t>
      </w:r>
      <w:r>
        <w:t xml:space="preserve"> contends, “</w:t>
      </w:r>
      <w:r>
        <w:rPr>
          <w:b/>
        </w:rPr>
        <w:t>space is a practiced place</w:t>
      </w:r>
      <w:r>
        <w:t xml:space="preserve">” (2011: 117), then our task is to analyze and express the practice itself as the interrelation between space and place. The </w:t>
      </w:r>
      <w:r>
        <w:rPr>
          <w:b/>
        </w:rPr>
        <w:t>four main practices that have arisen from this nexus are counter mapping, neogeography, the spatial humanities, and deep mapping</w:t>
      </w:r>
      <w:r>
        <w:t>.</w:t>
      </w:r>
    </w:p>
    <w:p w14:paraId="00755BA4" w14:textId="77777777" w:rsidR="00076776" w:rsidRDefault="00076776"/>
    <w:p w14:paraId="3149608C" w14:textId="77777777" w:rsidR="00076776" w:rsidRDefault="00000000">
      <w:r>
        <w:t>219 @Map@TechDev@EG</w:t>
      </w:r>
    </w:p>
    <w:p w14:paraId="670996A7" w14:textId="77777777" w:rsidR="00076776" w:rsidRDefault="00000000">
      <w:r>
        <w:t xml:space="preserve">On the practical outcomes of “deep mapping” practice: </w:t>
      </w:r>
    </w:p>
    <w:p w14:paraId="75E5680F" w14:textId="77777777" w:rsidR="00076776" w:rsidRDefault="00076776"/>
    <w:p w14:paraId="7CD5F272" w14:textId="77777777" w:rsidR="00076776" w:rsidRDefault="00000000">
      <w:pPr>
        <w:ind w:left="720"/>
      </w:pPr>
      <w:r>
        <w:t xml:space="preserve">One approach to achieving the goals of deep mapping is </w:t>
      </w:r>
      <w:r>
        <w:rPr>
          <w:b/>
        </w:rPr>
        <w:t>application development</w:t>
      </w:r>
      <w:r>
        <w:t xml:space="preserve">—that is, building applications that allow users to make maps differently. The </w:t>
      </w:r>
      <w:proofErr w:type="spellStart"/>
      <w:r>
        <w:rPr>
          <w:i/>
        </w:rPr>
        <w:t>HyperCities</w:t>
      </w:r>
      <w:proofErr w:type="spellEnd"/>
      <w:r>
        <w:t xml:space="preserve"> platform is an excellent example of just such a project.</w:t>
      </w:r>
    </w:p>
    <w:p w14:paraId="36C2E7F1" w14:textId="77777777" w:rsidR="00076776" w:rsidRDefault="00076776"/>
    <w:p w14:paraId="6E48CB02" w14:textId="77777777" w:rsidR="00076776" w:rsidRDefault="00000000">
      <w:r>
        <w:t>221 @Map@Acad@Epistem</w:t>
      </w:r>
    </w:p>
    <w:p w14:paraId="79A11059" w14:textId="77777777" w:rsidR="00076776" w:rsidRDefault="00000000">
      <w:pPr>
        <w:ind w:left="720"/>
      </w:pPr>
      <w:r>
        <w:t>The deep map has emerged, for humanists, as a new method of argument and a new form of scholarly production.</w:t>
      </w:r>
    </w:p>
    <w:p w14:paraId="32FD1381" w14:textId="77777777" w:rsidR="00076776" w:rsidRDefault="00076776"/>
    <w:p w14:paraId="31E2085E" w14:textId="77777777" w:rsidR="00076776" w:rsidRDefault="00000000">
      <w:pPr>
        <w:pStyle w:val="Heading2"/>
      </w:pPr>
      <w:r>
        <w:t>Secondary quotes</w:t>
      </w:r>
    </w:p>
    <w:p w14:paraId="4767C315" w14:textId="77777777" w:rsidR="00076776" w:rsidRDefault="00000000">
      <w:r>
        <w:t>215 On maps of antiquity versus modernity: “</w:t>
      </w:r>
      <w:r>
        <w:rPr>
          <w:b/>
        </w:rPr>
        <w:t>Ancient mapping technologies</w:t>
      </w:r>
      <w:r>
        <w:t xml:space="preserve">, such as the Babylonian map of the world, or medieval technologies, such as the </w:t>
      </w:r>
      <w:proofErr w:type="spellStart"/>
      <w:r>
        <w:t>mapa</w:t>
      </w:r>
      <w:proofErr w:type="spellEnd"/>
      <w:r>
        <w:t xml:space="preserve"> mundi, concerned themselves as much with </w:t>
      </w:r>
      <w:r>
        <w:rPr>
          <w:b/>
        </w:rPr>
        <w:t>symbolic relationships among peoples, places, and the unknown</w:t>
      </w:r>
      <w:r>
        <w:t xml:space="preserve"> (including the spiritual) as they did with strict geography. … </w:t>
      </w:r>
      <w:r>
        <w:rPr>
          <w:b/>
        </w:rPr>
        <w:t>Maps in modernity</w:t>
      </w:r>
      <w:r>
        <w:t xml:space="preserve"> developed and mastered a specific purpose: to </w:t>
      </w:r>
      <w:r>
        <w:rPr>
          <w:b/>
        </w:rPr>
        <w:t>accurately describe physical spaces such that they could be navigated or administered.</w:t>
      </w:r>
      <w:r>
        <w:t xml:space="preserve"> Indeed, radical cartographers contend that, throughout modernity, the map has been inextricably linked to the project of exploration and, by extension, </w:t>
      </w:r>
      <w:r>
        <w:rPr>
          <w:b/>
        </w:rPr>
        <w:t>empire and colonialism</w:t>
      </w:r>
      <w:r>
        <w:t xml:space="preserve">.” / 216 “In </w:t>
      </w:r>
      <w:proofErr w:type="gramStart"/>
      <w:r>
        <w:rPr>
          <w:i/>
        </w:rPr>
        <w:t>The</w:t>
      </w:r>
      <w:proofErr w:type="gramEnd"/>
      <w:r>
        <w:rPr>
          <w:i/>
        </w:rPr>
        <w:t xml:space="preserve"> Image of the City</w:t>
      </w:r>
      <w:r>
        <w:t xml:space="preserve"> (1960), </w:t>
      </w:r>
      <w:r>
        <w:rPr>
          <w:highlight w:val="magenta"/>
        </w:rPr>
        <w:t>Kevin Lynch</w:t>
      </w:r>
      <w:r>
        <w:t xml:space="preserve"> was among </w:t>
      </w:r>
      <w:r>
        <w:rPr>
          <w:b/>
        </w:rPr>
        <w:t>the first</w:t>
      </w:r>
      <w:r>
        <w:t xml:space="preserve"> in the field of geography (though technically he was an urban planner) </w:t>
      </w:r>
      <w:r>
        <w:rPr>
          <w:b/>
        </w:rPr>
        <w:t xml:space="preserve">to think about the relationship between people and the spaces they inhabit </w:t>
      </w:r>
      <w:r>
        <w:t xml:space="preserve">instead of analyzing spaces as a priori objects. … Lynch’s initial impulse to think of space relationally is extended and enhanced in the work of </w:t>
      </w:r>
      <w:r>
        <w:rPr>
          <w:highlight w:val="magenta"/>
        </w:rPr>
        <w:t>Doreen Massey</w:t>
      </w:r>
      <w:r>
        <w:t xml:space="preserve"> (1994), who integrated the political philosophies of Marxism and feminism into geography.” / 217 @</w:t>
      </w:r>
      <w:proofErr w:type="gramStart"/>
      <w:r>
        <w:t>Link:</w:t>
      </w:r>
      <w:r>
        <w:rPr>
          <w:highlight w:val="magenta"/>
        </w:rPr>
        <w:t>Foucault</w:t>
      </w:r>
      <w:proofErr w:type="gramEnd"/>
      <w:r>
        <w:t>: “Michel Foucault offers one such philosophical perspective in “Of Other Spaces: Utopias and Heterotopias” (1986 [1967]).” / 219 “</w:t>
      </w:r>
      <w:r>
        <w:rPr>
          <w:b/>
          <w:i/>
        </w:rPr>
        <w:t>Edmonton Pipelines Project</w:t>
      </w:r>
      <w:r>
        <w:t xml:space="preserve">… [220] Other Pipelines document and narrate “desire lines,” or “unsanctioned paths worn by frequent footsteps” (Luckert n.d.). Still others take the block-by-block makeup of the city and rearrange it chronologically rather than spatially” … the </w:t>
      </w:r>
      <w:r>
        <w:rPr>
          <w:i/>
        </w:rPr>
        <w:t>Pipelines</w:t>
      </w:r>
      <w:r>
        <w:t xml:space="preserve"> projects represent a sustained and varied engagement with what constitutes space and place, what might count as a “map,” and how we might insert “depth” into our theories and methods alike.”</w:t>
      </w:r>
    </w:p>
    <w:p w14:paraId="72B3DAA9" w14:textId="77777777" w:rsidR="00076776" w:rsidRDefault="00076776"/>
    <w:p w14:paraId="78D88405" w14:textId="77777777" w:rsidR="00076776" w:rsidRDefault="00000000">
      <w:pPr>
        <w:pStyle w:val="Heading2"/>
      </w:pPr>
      <w:r>
        <w:t>Notes</w:t>
      </w:r>
    </w:p>
    <w:p w14:paraId="254DB2F9" w14:textId="77777777" w:rsidR="00076776" w:rsidRDefault="00000000">
      <w:r>
        <w:t xml:space="preserve">@Diss source: Turner, A. (2006) </w:t>
      </w:r>
      <w:r>
        <w:rPr>
          <w:i/>
        </w:rPr>
        <w:t>Introduction to Neogeography</w:t>
      </w:r>
      <w:r>
        <w:t>, Sebastopol, CA: O’Reilly Media, retrieved from highearthorbit.com/neogeography/book.pdf.</w:t>
      </w:r>
    </w:p>
    <w:p w14:paraId="30D7B760" w14:textId="77777777" w:rsidR="00076776" w:rsidRDefault="00000000">
      <w:pPr>
        <w:pStyle w:val="Heading1"/>
      </w:pPr>
      <w:bookmarkStart w:id="42" w:name="_heading=h.1v1yuxt" w:colFirst="0" w:colLast="0"/>
      <w:bookmarkEnd w:id="42"/>
      <w:r>
        <w:lastRenderedPageBreak/>
        <w:t xml:space="preserve">(2018) </w:t>
      </w:r>
      <w:proofErr w:type="spellStart"/>
      <w:r>
        <w:t>Kollektiv</w:t>
      </w:r>
      <w:proofErr w:type="spellEnd"/>
      <w:r>
        <w:t xml:space="preserve"> </w:t>
      </w:r>
      <w:proofErr w:type="spellStart"/>
      <w:r>
        <w:t>Orangotango</w:t>
      </w:r>
      <w:proofErr w:type="spellEnd"/>
      <w:r>
        <w:t xml:space="preserve">+, </w:t>
      </w:r>
      <w:r>
        <w:rPr>
          <w:i/>
        </w:rPr>
        <w:t>This is Not an Atlas</w:t>
      </w:r>
    </w:p>
    <w:p w14:paraId="5EA2AB33" w14:textId="77777777" w:rsidR="00076776" w:rsidRDefault="00076776"/>
    <w:p w14:paraId="218EAEC0" w14:textId="77777777" w:rsidR="00076776" w:rsidRDefault="00000000">
      <w:pPr>
        <w:pStyle w:val="Heading2"/>
      </w:pPr>
      <w:r>
        <w:t>Abstract</w:t>
      </w:r>
    </w:p>
    <w:p w14:paraId="79D2D2D0" w14:textId="77777777" w:rsidR="00076776" w:rsidRDefault="00000000">
      <w:r>
        <w:t xml:space="preserve">Examples of and reflections on counter-cartographies. </w:t>
      </w:r>
    </w:p>
    <w:p w14:paraId="27EE7850" w14:textId="77777777" w:rsidR="00076776" w:rsidRDefault="00076776"/>
    <w:p w14:paraId="028A6D8F" w14:textId="77777777" w:rsidR="00076776" w:rsidRDefault="00000000">
      <w:pPr>
        <w:pStyle w:val="Heading2"/>
      </w:pPr>
      <w:r>
        <w:t>Key words</w:t>
      </w:r>
    </w:p>
    <w:p w14:paraId="1399A7EC" w14:textId="77777777" w:rsidR="00076776" w:rsidRDefault="00000000">
      <w:r>
        <w:t>maps, politics, cartography, counter-cartography, collective action, social justice, activism</w:t>
      </w:r>
    </w:p>
    <w:p w14:paraId="08CBB938" w14:textId="77777777" w:rsidR="00076776" w:rsidRDefault="00076776"/>
    <w:p w14:paraId="0A8D5178" w14:textId="77777777" w:rsidR="00076776" w:rsidRDefault="00000000">
      <w:pPr>
        <w:pStyle w:val="Heading2"/>
      </w:pPr>
      <w:r>
        <w:t>Essential quote</w:t>
      </w:r>
    </w:p>
    <w:p w14:paraId="6A7B1DF1" w14:textId="77777777" w:rsidR="00076776" w:rsidRDefault="00000000">
      <w:r>
        <w:rPr>
          <w:highlight w:val="green"/>
        </w:rPr>
        <w:t>324 @Map@WIAM@FFessay@Diss@Motherlode! [John Krygier, Denis Wood]</w:t>
      </w:r>
      <w:r>
        <w:t xml:space="preserve">: Maps objectify by </w:t>
      </w:r>
      <w:r>
        <w:rPr>
          <w:i/>
        </w:rPr>
        <w:t>winnowing out our personal agency</w:t>
      </w:r>
      <w:r>
        <w:t xml:space="preserve">, replacing it with that of a reference object so constructed by so many people over so long a time that it might as well have been constructed by no one at all (“It is not I who says this, but ... </w:t>
      </w:r>
      <w:r>
        <w:rPr>
          <w:i/>
        </w:rPr>
        <w:t>the entire human race</w:t>
      </w:r>
      <w:r>
        <w:t xml:space="preserve">”). Citation enhances a source’s authority but also the authority of the one who cites it. The reflected light is blinding. Opposition is extinguished. </w:t>
      </w:r>
    </w:p>
    <w:p w14:paraId="10388CFB" w14:textId="77777777" w:rsidR="00076776" w:rsidRDefault="00076776"/>
    <w:p w14:paraId="64853845" w14:textId="77777777" w:rsidR="00076776" w:rsidRDefault="00000000">
      <w:pPr>
        <w:pStyle w:val="Heading2"/>
      </w:pPr>
      <w:r>
        <w:t>Terms</w:t>
      </w:r>
    </w:p>
    <w:p w14:paraId="65CCAD05" w14:textId="77777777" w:rsidR="00076776" w:rsidRDefault="00000000">
      <w:r>
        <w:t xml:space="preserve">323: </w:t>
      </w:r>
      <w:proofErr w:type="spellStart"/>
      <w:r>
        <w:rPr>
          <w:b/>
        </w:rPr>
        <w:t>paracartography</w:t>
      </w:r>
      <w:proofErr w:type="spellEnd"/>
      <w:r>
        <w:t xml:space="preserve">: … those mapmaking practices that lie beside or beyond the mapmaking that cartographers have strained to confine. More generally, if cartography is contemporary accepted theory and practice, then </w:t>
      </w:r>
      <w:proofErr w:type="spellStart"/>
      <w:r>
        <w:t>patacartography</w:t>
      </w:r>
      <w:proofErr w:type="spellEnd"/>
      <w:r>
        <w:t xml:space="preserve"> and </w:t>
      </w:r>
      <w:proofErr w:type="spellStart"/>
      <w:r>
        <w:t>paracartography</w:t>
      </w:r>
      <w:proofErr w:type="spellEnd"/>
      <w:r>
        <w:t xml:space="preserve"> are map-making theories and practices that lie </w:t>
      </w:r>
      <w:r>
        <w:rPr>
          <w:i/>
        </w:rPr>
        <w:t>outside</w:t>
      </w:r>
      <w:r>
        <w:t xml:space="preserve"> the limits of cartography. … The maps of artists, of activists engaged in indigenous and counter-mapping, diagrammatic social mapping, and maps guiding or emerging from </w:t>
      </w:r>
      <w:proofErr w:type="spellStart"/>
      <w:r>
        <w:rPr>
          <w:b/>
        </w:rPr>
        <w:t>psychogeographic</w:t>
      </w:r>
      <w:proofErr w:type="spellEnd"/>
      <w:r>
        <w:rPr>
          <w:b/>
        </w:rPr>
        <w:t xml:space="preserve"> activities</w:t>
      </w:r>
      <w:r>
        <w:t xml:space="preserve"> are but a few examples of the forms </w:t>
      </w:r>
      <w:proofErr w:type="spellStart"/>
      <w:r>
        <w:t>paracartography</w:t>
      </w:r>
      <w:proofErr w:type="spellEnd"/>
      <w:r>
        <w:t xml:space="preserve"> may take, but others may reach for the wild blue yonder. The outcomes of the </w:t>
      </w:r>
      <w:proofErr w:type="spellStart"/>
      <w:r>
        <w:t>paracartographic</w:t>
      </w:r>
      <w:proofErr w:type="spellEnd"/>
      <w:r>
        <w:t xml:space="preserve"> practices and experiments we’re exploring may expand the possibilities of mapping, may be funny or amusing, may undermine mainstream cartographic theory and practice, may be a waste of time, may help to understand the conventions and limitations of maps, may be stupid or puerile or may even leak out into the world, inspiring engagement with place and landscape. [</w:t>
      </w:r>
      <w:r>
        <w:rPr>
          <w:highlight w:val="magenta"/>
        </w:rPr>
        <w:t>Krygier &amp; Wood</w:t>
      </w:r>
      <w:r>
        <w:t xml:space="preserve">: “Towards </w:t>
      </w:r>
      <w:proofErr w:type="spellStart"/>
      <w:r>
        <w:t>unMaking</w:t>
      </w:r>
      <w:proofErr w:type="spellEnd"/>
      <w:r>
        <w:t xml:space="preserve"> Maps: A Guide to Experiments in </w:t>
      </w:r>
      <w:proofErr w:type="spellStart"/>
      <w:r>
        <w:t>Paracartography</w:t>
      </w:r>
      <w:proofErr w:type="spellEnd"/>
      <w:r>
        <w:t>”]</w:t>
      </w:r>
    </w:p>
    <w:p w14:paraId="78167F9D" w14:textId="77777777" w:rsidR="00076776" w:rsidRDefault="00000000">
      <w:r>
        <w:t xml:space="preserve">13: </w:t>
      </w:r>
      <w:r>
        <w:rPr>
          <w:b/>
        </w:rPr>
        <w:t>cartography</w:t>
      </w:r>
      <w:r>
        <w:t xml:space="preserve">: [@WIAM] in the traditional sense: … refers to a practice strongly institutionalized by the state and by capital. … Cartography does not exist outside of power structures, and maps can be powerful devices in society. Not only do they locate and thereby spatialize the natural environment, </w:t>
      </w:r>
      <w:proofErr w:type="gramStart"/>
      <w:r>
        <w:t>they</w:t>
      </w:r>
      <w:proofErr w:type="gramEnd"/>
      <w:r>
        <w:t xml:space="preserve"> also put ownership, rights and social norms in their place.</w:t>
      </w:r>
    </w:p>
    <w:p w14:paraId="122AB255" w14:textId="77777777" w:rsidR="00076776" w:rsidRDefault="00000000">
      <w:r>
        <w:t xml:space="preserve">13: </w:t>
      </w:r>
      <w:r>
        <w:rPr>
          <w:b/>
        </w:rPr>
        <w:t>Critical cartographers</w:t>
      </w:r>
      <w:r>
        <w:t>: [@Textual@</w:t>
      </w:r>
      <w:proofErr w:type="gramStart"/>
      <w:r>
        <w:t>Map]…</w:t>
      </w:r>
      <w:proofErr w:type="gramEnd"/>
      <w:r>
        <w:t xml:space="preserve"> critically scrutinized maps in various ways – both methodologically and theoretically – using semiotics, discourse analysis or deconstructivism. … represented most notably by John Brian Harley’s </w:t>
      </w:r>
      <w:r>
        <w:rPr>
          <w:i/>
        </w:rPr>
        <w:t>Deconstructing the Map</w:t>
      </w:r>
      <w:r>
        <w:t xml:space="preserve"> (1989) and </w:t>
      </w:r>
      <w:r>
        <w:rPr>
          <w:highlight w:val="magenta"/>
        </w:rPr>
        <w:t>Denis Wood</w:t>
      </w:r>
      <w:r>
        <w:t xml:space="preserve">’s </w:t>
      </w:r>
      <w:r>
        <w:rPr>
          <w:i/>
        </w:rPr>
        <w:t>The Power of Maps</w:t>
      </w:r>
      <w:r>
        <w:t xml:space="preserve"> (1992), in which it is argued that maps should be understood as signs and texts and, by being signs and texts, they should be read critically. … </w:t>
      </w:r>
      <w:r>
        <w:rPr>
          <w:highlight w:val="magenta"/>
        </w:rPr>
        <w:t>Jeremy Crampton and John Krygier</w:t>
      </w:r>
      <w:r>
        <w:t xml:space="preserve"> argue to conceive of “critical cartography as a one-two punch of new mapping practices and theoretical critique” (2005: 11).</w:t>
      </w:r>
    </w:p>
    <w:p w14:paraId="0B0829F1" w14:textId="77777777" w:rsidR="00076776" w:rsidRDefault="00000000">
      <w:r>
        <w:lastRenderedPageBreak/>
        <w:t xml:space="preserve">13: </w:t>
      </w:r>
      <w:r>
        <w:rPr>
          <w:b/>
        </w:rPr>
        <w:t>counter-cartographies</w:t>
      </w:r>
      <w:r>
        <w:t xml:space="preserve">: … we build upon a long tradition of counter-cartographies – or, rather, multiple traditions in a range of fields, such as the arts, academia or political activism. We understand counter-cartography as </w:t>
      </w:r>
      <w:r>
        <w:rPr>
          <w:b/>
        </w:rPr>
        <w:t xml:space="preserve">a political practice of mapping back. </w:t>
      </w:r>
      <w:r>
        <w:t>[16] … counter-cartographies can only be “a departure point or a tool that can aid in analysis but do not speak for themselves” (</w:t>
      </w:r>
      <w:proofErr w:type="spellStart"/>
      <w:r>
        <w:t>Paglen</w:t>
      </w:r>
      <w:proofErr w:type="spellEnd"/>
      <w:r>
        <w:t xml:space="preserve"> 2007: 43): </w:t>
      </w:r>
      <w:r>
        <w:rPr>
          <w:b/>
        </w:rPr>
        <w:t>the map can never be the territory</w:t>
      </w:r>
      <w:r>
        <w:t xml:space="preserve"> (see article page 86</w:t>
      </w:r>
      <w:proofErr w:type="gramStart"/>
      <w:r>
        <w:t>)</w:t>
      </w:r>
      <w:proofErr w:type="gramEnd"/>
      <w:r>
        <w:t xml:space="preserve"> and the struggles will not be decided on paper.</w:t>
      </w:r>
    </w:p>
    <w:p w14:paraId="533DCBD4" w14:textId="77777777" w:rsidR="00076776" w:rsidRDefault="00000000">
      <w:r>
        <w:t xml:space="preserve">[From </w:t>
      </w:r>
      <w:r>
        <w:rPr>
          <w:highlight w:val="magenta"/>
        </w:rPr>
        <w:t>Mesquita</w:t>
      </w:r>
      <w:r>
        <w:t xml:space="preserve">’s “Counter-Cartographies: Politics, Art and the Insurrection of Maps”] counter-cartographies are understood as maps that break with the scientific tradition and specialization of cartography as well as with its mere technical or essentially positivist view of the world. This type of transgression goes against official geopolitical maps while exposing relations of domination over and exploitation of a territory as well as revealing concealed networks of power. With an anti-capitalist orientation, one of the aims of counter-maps is to make obscure and established powers more perceptible </w:t>
      </w:r>
      <w:proofErr w:type="gramStart"/>
      <w:r>
        <w:t>in order to</w:t>
      </w:r>
      <w:proofErr w:type="gramEnd"/>
      <w:r>
        <w:t xml:space="preserve"> confront them. Counter-cartographies can be used in a tactical manner over the duration of an action and in a strategical manner for analyzing networks and spaces </w:t>
      </w:r>
      <w:proofErr w:type="gramStart"/>
      <w:r>
        <w:t>in order to</w:t>
      </w:r>
      <w:proofErr w:type="gramEnd"/>
      <w:r>
        <w:t xml:space="preserve"> generate social change from below. Another task is to deconstruct the political and economic logics of mechanisms, organizations and social hierarchies </w:t>
      </w:r>
      <w:proofErr w:type="gramStart"/>
      <w:r>
        <w:t>so as to</w:t>
      </w:r>
      <w:proofErr w:type="gramEnd"/>
      <w:r>
        <w:t xml:space="preserve"> reveal its contradictions. </w:t>
      </w:r>
    </w:p>
    <w:p w14:paraId="04C17696" w14:textId="77777777" w:rsidR="00076776" w:rsidRDefault="00000000">
      <w:r>
        <w:t xml:space="preserve">14-15: </w:t>
      </w:r>
      <w:r>
        <w:rPr>
          <w:b/>
        </w:rPr>
        <w:t>Counter-maps</w:t>
      </w:r>
      <w:r>
        <w:t>: [@WIAM@ISr@IR@</w:t>
      </w:r>
      <w:proofErr w:type="gramStart"/>
      <w:r>
        <w:t>Motherlode!@</w:t>
      </w:r>
      <w:proofErr w:type="gramEnd"/>
      <w:r>
        <w:t>FFessay] … grow from a long tradition of post-colonial practices of mapping back. These practices can be traced back to the struggles of First Nations political organizations in Canada and Alaska in the 1970s. The idea behind indigenous counter-cartography is as simple as it is good: “</w:t>
      </w:r>
      <w:r>
        <w:rPr>
          <w:highlight w:val="green"/>
        </w:rPr>
        <w:t>More indigenous territory has been claimed by maps than by guns. This assertion has its corollary: more indigenous territory can be reclaimed and defended by maps than by guns</w:t>
      </w:r>
      <w:r>
        <w:t>” (</w:t>
      </w:r>
      <w:proofErr w:type="spellStart"/>
      <w:r>
        <w:rPr>
          <w:highlight w:val="magenta"/>
        </w:rPr>
        <w:t>Nietschmann</w:t>
      </w:r>
      <w:proofErr w:type="spellEnd"/>
      <w:r>
        <w:t xml:space="preserve"> 1995: 37). The </w:t>
      </w:r>
      <w:r>
        <w:rPr>
          <w:b/>
        </w:rPr>
        <w:t>mapping of indigenous biographies</w:t>
      </w:r>
      <w:r>
        <w:t xml:space="preserve"> played a crucial part in the First Nations campaigns for autonomy in the North of the Americas. This was eventually successful: not only did it lead to the establishment of </w:t>
      </w:r>
      <w:r>
        <w:rPr>
          <w:b/>
        </w:rPr>
        <w:t>Nunavut</w:t>
      </w:r>
      <w:r>
        <w:t xml:space="preserve">, a self-governed </w:t>
      </w:r>
      <w:r>
        <w:rPr>
          <w:b/>
        </w:rPr>
        <w:t>Inuit territory</w:t>
      </w:r>
      <w:r>
        <w:t xml:space="preserve"> of two million square kilometers in northern Canada (see illustration on opposite page top); it also initiated a spreading of indigenous counter-mappings all over the world</w:t>
      </w:r>
      <w:r>
        <w:rPr>
          <w:vertAlign w:val="superscript"/>
        </w:rPr>
        <w:t xml:space="preserve">7 </w:t>
      </w:r>
      <w:r>
        <w:t xml:space="preserve">(see articles pages 46, 110, 130 &amp; 144). </w:t>
      </w:r>
    </w:p>
    <w:p w14:paraId="0CEF018E" w14:textId="77777777" w:rsidR="00076776" w:rsidRDefault="00000000">
      <w:pPr>
        <w:ind w:left="720"/>
      </w:pPr>
      <w:r>
        <w:t xml:space="preserve">[See </w:t>
      </w:r>
      <w:proofErr w:type="spellStart"/>
      <w:r>
        <w:rPr>
          <w:highlight w:val="magenta"/>
        </w:rPr>
        <w:t>Nietschmann</w:t>
      </w:r>
      <w:proofErr w:type="spellEnd"/>
      <w:r>
        <w:t xml:space="preserve">, B. 1995. Defending the Miskito Reefs with Maps and GIS. Mapping With Sail, Scuba, and </w:t>
      </w:r>
      <w:proofErr w:type="spellStart"/>
      <w:r>
        <w:t>Satelite</w:t>
      </w:r>
      <w:proofErr w:type="spellEnd"/>
      <w:r>
        <w:t xml:space="preserve">. </w:t>
      </w:r>
      <w:r>
        <w:rPr>
          <w:i/>
        </w:rPr>
        <w:t>Cultural Survival Quarterly</w:t>
      </w:r>
      <w:r>
        <w:t>, 18 (4): 34-37.]</w:t>
      </w:r>
    </w:p>
    <w:p w14:paraId="481B6CBE" w14:textId="77777777" w:rsidR="00076776" w:rsidRDefault="00076776"/>
    <w:p w14:paraId="5F278BCA" w14:textId="77777777" w:rsidR="00076776" w:rsidRDefault="00000000">
      <w:pPr>
        <w:pStyle w:val="Heading2"/>
      </w:pPr>
      <w:r>
        <w:t>Core quotes</w:t>
      </w:r>
    </w:p>
    <w:p w14:paraId="0B2AAB43" w14:textId="77777777" w:rsidR="00076776" w:rsidRDefault="00000000">
      <w:r>
        <w:t xml:space="preserve">In sections ordered by my priorities… </w:t>
      </w:r>
    </w:p>
    <w:p w14:paraId="7EF8EBDF" w14:textId="77777777" w:rsidR="00076776" w:rsidRDefault="00076776"/>
    <w:p w14:paraId="2E7DD59B" w14:textId="77777777" w:rsidR="00076776" w:rsidRDefault="00000000">
      <w:pPr>
        <w:pStyle w:val="Heading5"/>
      </w:pPr>
      <w:r>
        <w:t xml:space="preserve">John Krygier, Denis Wood: “Towards </w:t>
      </w:r>
      <w:proofErr w:type="spellStart"/>
      <w:r>
        <w:t>unMaking</w:t>
      </w:r>
      <w:proofErr w:type="spellEnd"/>
      <w:r>
        <w:t xml:space="preserve"> Maps: A Guide to Experiments in </w:t>
      </w:r>
      <w:proofErr w:type="spellStart"/>
      <w:r>
        <w:t>Paracartography</w:t>
      </w:r>
      <w:proofErr w:type="spellEnd"/>
      <w:r>
        <w:t>”</w:t>
      </w:r>
    </w:p>
    <w:p w14:paraId="2C785E12" w14:textId="77777777" w:rsidR="00076776" w:rsidRDefault="00076776"/>
    <w:p w14:paraId="20BDAC50" w14:textId="77777777" w:rsidR="00076776" w:rsidRDefault="00000000">
      <w:r>
        <w:rPr>
          <w:highlight w:val="green"/>
        </w:rPr>
        <w:t>323 @Map@Hegem@</w:t>
      </w:r>
      <w:proofErr w:type="gramStart"/>
      <w:r>
        <w:rPr>
          <w:highlight w:val="green"/>
        </w:rPr>
        <w:t>Resist!@</w:t>
      </w:r>
      <w:proofErr w:type="gramEnd"/>
      <w:r>
        <w:rPr>
          <w:highlight w:val="green"/>
        </w:rPr>
        <w:t>Phenom@WIAM</w:t>
      </w:r>
      <w:r>
        <w:t>@FFessay</w:t>
      </w:r>
    </w:p>
    <w:p w14:paraId="27882F63" w14:textId="77777777" w:rsidR="00076776" w:rsidRDefault="00000000">
      <w:pPr>
        <w:ind w:left="720"/>
      </w:pPr>
      <w:proofErr w:type="gramStart"/>
      <w:r>
        <w:rPr>
          <w:highlight w:val="magenta"/>
        </w:rPr>
        <w:t>Denis [Wood],</w:t>
      </w:r>
      <w:proofErr w:type="gramEnd"/>
      <w:r>
        <w:t xml:space="preserve"> wrote the first of his series of papers (threatening finally to become a book) on the cartography of reality back in 1973. “The Cartography of Reality” argued that the only real experience any of us have of the world is our own – </w:t>
      </w:r>
      <w:r>
        <w:rPr>
          <w:i/>
        </w:rPr>
        <w:t>our own experience</w:t>
      </w:r>
      <w:r>
        <w:t xml:space="preserve"> – and that the world that most maps brought into being was wholly imaginary, thanks largely to all the blather about objectivity and standards. … Perhaps the most important is that while most maps are unfathomably authoritative – they’re right, they’re accurate pictures of our world – they’re simultaneously incredibly impoverished. That is, they may be right, but right about so unbelievably little. The world we </w:t>
      </w:r>
      <w:proofErr w:type="gramStart"/>
      <w:r>
        <w:t>actually live</w:t>
      </w:r>
      <w:proofErr w:type="gramEnd"/>
      <w:r>
        <w:t xml:space="preserve"> in is richly </w:t>
      </w:r>
      <w:r>
        <w:lastRenderedPageBreak/>
        <w:t xml:space="preserve">multidimensional, it has sunlight and starlight, it has shadows, it has birdsong and the roar of motorcycles, it has people and animals, and it’s powerfully dynamic, changing not just day by day, but minute by minute and year by year. None of this makes it onto your Google map or onto the government topographic survey or onto the map hanging in the front of the classroom. None of this or any of the rest of it, which is the overwhelming most of it. // That is, most of the world doesn’t make it onto those authoritative maps which are the cynosure of most mapmakers’ eyes. Given this impoverishment, how is it that they’re so authoritative? How is it that they’re so authoritative and </w:t>
      </w:r>
      <w:r>
        <w:rPr>
          <w:i/>
        </w:rPr>
        <w:t>have been so authoritative for so long</w:t>
      </w:r>
      <w:r>
        <w:t xml:space="preserve">? For the way we treat maps today is the way we’ve been treating them for five hundred years, even though by our current standards those old maps were so terribly wrong! This reflects the reality that our attitude toward maps has less to do with the </w:t>
      </w:r>
      <w:r>
        <w:rPr>
          <w:i/>
        </w:rPr>
        <w:t>maps</w:t>
      </w:r>
      <w:r>
        <w:t xml:space="preserve"> themselves than with the way they’ve been presented to us. There are things in the world that we’re taught to think about as ... right. [followed by examples of … catalogues, calendars, concordances, encyclopedias, directories, phone books, dictionaries (the </w:t>
      </w:r>
      <w:r>
        <w:rPr>
          <w:i/>
        </w:rPr>
        <w:t>Oxford English Dictionary</w:t>
      </w:r>
      <w:r>
        <w:t xml:space="preserve"> (look it up!)), thesauruses (</w:t>
      </w:r>
      <w:r>
        <w:rPr>
          <w:i/>
        </w:rPr>
        <w:t>Roget’s</w:t>
      </w:r>
      <w:r>
        <w:t>!), glossaries … footnotes, citations, legal citations, priests, eyewitnesses, constitutions, parliamentary procedures]</w:t>
      </w:r>
    </w:p>
    <w:p w14:paraId="2E8EB6E4" w14:textId="77777777" w:rsidR="00076776" w:rsidRDefault="00076776"/>
    <w:p w14:paraId="340B1F12" w14:textId="77777777" w:rsidR="00076776" w:rsidRDefault="00000000">
      <w:r>
        <w:rPr>
          <w:highlight w:val="green"/>
        </w:rPr>
        <w:t>@</w:t>
      </w:r>
      <w:proofErr w:type="gramStart"/>
      <w:r>
        <w:rPr>
          <w:highlight w:val="green"/>
        </w:rPr>
        <w:t>K?@</w:t>
      </w:r>
      <w:proofErr w:type="gramEnd"/>
      <w:r>
        <w:rPr>
          <w:highlight w:val="green"/>
        </w:rPr>
        <w:t xml:space="preserve">WIAM@FFessay: This is crucial to the WIAM essay, in that it provides an answer to this obvious question: what is </w:t>
      </w:r>
      <w:r>
        <w:rPr>
          <w:i/>
          <w:highlight w:val="green"/>
        </w:rPr>
        <w:t>not</w:t>
      </w:r>
      <w:r>
        <w:rPr>
          <w:highlight w:val="green"/>
        </w:rPr>
        <w:t xml:space="preserve"> a map? Answer: one’s phenomenological reality.</w:t>
      </w:r>
      <w:r>
        <w:t xml:space="preserve"> One line of enquiry: </w:t>
      </w:r>
      <w:proofErr w:type="spellStart"/>
      <w:r>
        <w:rPr>
          <w:b/>
        </w:rPr>
        <w:t>psychogeographic</w:t>
      </w:r>
      <w:proofErr w:type="spellEnd"/>
      <w:r>
        <w:rPr>
          <w:b/>
        </w:rPr>
        <w:t xml:space="preserve"> activities</w:t>
      </w:r>
      <w:r>
        <w:t xml:space="preserve">, what I take as the lived realities and experiences that cannot be expressed in traditional maps. I wonder if we will end up with a book, or some similar narrative, or if something new, that is, </w:t>
      </w:r>
      <w:r>
        <w:rPr>
          <w:i/>
        </w:rPr>
        <w:t>non</w:t>
      </w:r>
      <w:r>
        <w:t xml:space="preserve">-novel, in this case, might emerge?  </w:t>
      </w:r>
    </w:p>
    <w:p w14:paraId="29B3D201" w14:textId="77777777" w:rsidR="00076776" w:rsidRDefault="00076776"/>
    <w:p w14:paraId="728C2962" w14:textId="77777777" w:rsidR="00076776" w:rsidRDefault="00000000">
      <w:r>
        <w:t>13 @Map@Polity</w:t>
      </w:r>
    </w:p>
    <w:p w14:paraId="061C7736" w14:textId="77777777" w:rsidR="00076776" w:rsidRDefault="00000000">
      <w:r>
        <w:t xml:space="preserve">From the introduction… </w:t>
      </w:r>
    </w:p>
    <w:p w14:paraId="0D160798" w14:textId="77777777" w:rsidR="00076776" w:rsidRDefault="00076776"/>
    <w:p w14:paraId="212E15CE" w14:textId="77777777" w:rsidR="00076776" w:rsidRDefault="00000000">
      <w:pPr>
        <w:ind w:left="720"/>
      </w:pPr>
      <w:r>
        <w:t>Rather we follow the idea that maps are by no means just representations of reality. Maps articulate statements that are shaped by social relations, discourses and practices, but these statements also influence them in turn. Hence, maps (and atlases) are always political. “In this interplay between facts and perception, the cartographer is both witness and actor. [...] In order to create, or, more accurately: to invent, “his worlds”, he finally arrives at a subtle mixture of the world as it is, and the world he desires” (</w:t>
      </w:r>
      <w:proofErr w:type="spellStart"/>
      <w:r>
        <w:t>Rekacewicz</w:t>
      </w:r>
      <w:proofErr w:type="spellEnd"/>
      <w:r>
        <w:t xml:space="preserve"> 2006).</w:t>
      </w:r>
    </w:p>
    <w:p w14:paraId="00075389" w14:textId="77777777" w:rsidR="00076776" w:rsidRDefault="00076776"/>
    <w:p w14:paraId="341C5E20" w14:textId="77777777" w:rsidR="00076776" w:rsidRDefault="00000000">
      <w:r>
        <w:t xml:space="preserve">And another great quote from Denis Wood: </w:t>
      </w:r>
    </w:p>
    <w:p w14:paraId="3F53C3AC" w14:textId="77777777" w:rsidR="00076776" w:rsidRDefault="00076776"/>
    <w:p w14:paraId="0B8680FE" w14:textId="77777777" w:rsidR="00076776" w:rsidRDefault="00000000">
      <w:pPr>
        <w:ind w:left="720"/>
      </w:pPr>
      <w:r>
        <w:t>“Cartography Is Dead (Thank God!) Let’s admit it. Cartography is dead. And then let’s thank our lucky stars that after the better part of a century mapmaking is freeing itself from the dead hand of academia.” (Wood 2003: 4)</w:t>
      </w:r>
    </w:p>
    <w:p w14:paraId="420F4C24" w14:textId="77777777" w:rsidR="00076776" w:rsidRDefault="00076776"/>
    <w:p w14:paraId="5FE8DFF0" w14:textId="77777777" w:rsidR="00076776" w:rsidRDefault="00000000">
      <w:pPr>
        <w:rPr>
          <w:highlight w:val="green"/>
        </w:rPr>
      </w:pPr>
      <w:r>
        <w:rPr>
          <w:highlight w:val="green"/>
        </w:rPr>
        <w:t>16 @Map@IK@ISr@Ontol@NeoCol@Hegem@Para@WIAM@FFessay</w:t>
      </w:r>
    </w:p>
    <w:p w14:paraId="03E3D262" w14:textId="77777777" w:rsidR="00076776" w:rsidRDefault="00000000">
      <w:pPr>
        <w:ind w:left="720"/>
      </w:pPr>
      <w:r>
        <w:t xml:space="preserve">Beyond appropriating western map practices for indigenous purposes, however, there have always been other forms of spatial representation – incongruent with western cartography. Some Aztec codices could be seen as an example of these (see illustrations on opposite page bottom). At times, these geographies of words and images, songs or </w:t>
      </w:r>
      <w:r>
        <w:lastRenderedPageBreak/>
        <w:t xml:space="preserve">handicraft even merged with colonial maps, as in the case of </w:t>
      </w:r>
      <w:r>
        <w:rPr>
          <w:highlight w:val="magenta"/>
        </w:rPr>
        <w:t>Tupaia</w:t>
      </w:r>
      <w:r>
        <w:t>’s map</w:t>
      </w:r>
      <w:r>
        <w:rPr>
          <w:vertAlign w:val="superscript"/>
        </w:rPr>
        <w:t>9</w:t>
      </w:r>
      <w:r>
        <w:t xml:space="preserve"> (see illustration this page right) [and </w:t>
      </w:r>
      <w:hyperlink w:anchor="_heading=h.4f1mdlm">
        <w:r w:rsidR="00076776">
          <w:rPr>
            <w:color w:val="0563C1"/>
            <w:u w:val="single"/>
          </w:rPr>
          <w:t>Eckstein &amp; Schwarz</w:t>
        </w:r>
      </w:hyperlink>
      <w:r>
        <w:t xml:space="preserve">]. </w:t>
      </w:r>
    </w:p>
    <w:p w14:paraId="560AA50F" w14:textId="77777777" w:rsidR="00076776" w:rsidRDefault="00076776">
      <w:pPr>
        <w:ind w:left="720"/>
      </w:pPr>
    </w:p>
    <w:p w14:paraId="716B17C6" w14:textId="77777777" w:rsidR="00076776" w:rsidRDefault="00000000">
      <w:pPr>
        <w:ind w:left="720"/>
      </w:pPr>
      <w:r>
        <w:t xml:space="preserve">Just by the simple fact of their existence, </w:t>
      </w:r>
      <w:r>
        <w:rPr>
          <w:b/>
        </w:rPr>
        <w:t>indigenous geographic representations challenge dominant cartographic imaginations and methods</w:t>
      </w:r>
      <w:r>
        <w:t xml:space="preserve"> that exclude all non-European modes of knowledge and representation. By reflecting dominant notions of territoriality and shedding light on different human-space interactions, indigenous cartography serves as inspiration for non-hegemonic worldviews and emancipatory practices.</w:t>
      </w:r>
    </w:p>
    <w:p w14:paraId="347BF347" w14:textId="77777777" w:rsidR="00076776" w:rsidRDefault="00076776">
      <w:pPr>
        <w:ind w:left="720"/>
      </w:pPr>
    </w:p>
    <w:p w14:paraId="1230B74C" w14:textId="77777777" w:rsidR="00076776" w:rsidRDefault="00000000">
      <w:pPr>
        <w:ind w:left="720"/>
      </w:pPr>
      <w:r>
        <w:t xml:space="preserve">[@WIAM@FFessay] At the same time, </w:t>
      </w:r>
      <w:r>
        <w:rPr>
          <w:highlight w:val="green"/>
        </w:rPr>
        <w:t xml:space="preserve">indigenous counter-mappings often contain a paradoxical element: </w:t>
      </w:r>
      <w:proofErr w:type="gramStart"/>
      <w:r>
        <w:rPr>
          <w:highlight w:val="green"/>
        </w:rPr>
        <w:t>In order to</w:t>
      </w:r>
      <w:proofErr w:type="gramEnd"/>
      <w:r>
        <w:rPr>
          <w:highlight w:val="green"/>
        </w:rPr>
        <w:t xml:space="preserve"> be heard and recognized, the claim for territory and empowerment </w:t>
      </w:r>
      <w:proofErr w:type="gramStart"/>
      <w:r>
        <w:rPr>
          <w:highlight w:val="green"/>
        </w:rPr>
        <w:t>has to</w:t>
      </w:r>
      <w:proofErr w:type="gramEnd"/>
      <w:r>
        <w:rPr>
          <w:highlight w:val="green"/>
        </w:rPr>
        <w:t xml:space="preserve"> translate indigenous </w:t>
      </w:r>
      <w:proofErr w:type="spellStart"/>
      <w:r>
        <w:rPr>
          <w:highlight w:val="green"/>
        </w:rPr>
        <w:t>cosmovisions</w:t>
      </w:r>
      <w:proofErr w:type="spellEnd"/>
      <w:r>
        <w:rPr>
          <w:highlight w:val="green"/>
        </w:rPr>
        <w:t xml:space="preserve"> into dominant cartographic tools.</w:t>
      </w:r>
      <w:r>
        <w:t xml:space="preserve"> Hence, there is always the danger of distorting original messages or intentions, and to become instrumentalized by those in power. Precisely because maps are powerful tools, it is necessary to keep questioning and reinterpreting them </w:t>
      </w:r>
      <w:proofErr w:type="gramStart"/>
      <w:r>
        <w:t>in order to</w:t>
      </w:r>
      <w:proofErr w:type="gramEnd"/>
      <w:r>
        <w:t xml:space="preserve"> make sure they are still useful for emancipatory purposes. </w:t>
      </w:r>
    </w:p>
    <w:p w14:paraId="71F4A38A" w14:textId="77777777" w:rsidR="00076776" w:rsidRDefault="00076776"/>
    <w:p w14:paraId="5132E988" w14:textId="77777777" w:rsidR="00076776" w:rsidRDefault="00000000">
      <w:r>
        <w:t>30 @Map@</w:t>
      </w:r>
      <w:proofErr w:type="gramStart"/>
      <w:r>
        <w:t>Resist!@</w:t>
      </w:r>
      <w:proofErr w:type="gramEnd"/>
      <w:r>
        <w:t>Pow</w:t>
      </w:r>
    </w:p>
    <w:p w14:paraId="2935DEC0" w14:textId="77777777" w:rsidR="00076776" w:rsidRDefault="00076776"/>
    <w:p w14:paraId="12AF2526" w14:textId="77777777" w:rsidR="00076776" w:rsidRDefault="00000000">
      <w:pPr>
        <w:ind w:left="720"/>
      </w:pPr>
      <w:r>
        <w:t xml:space="preserve">Why then produce more maps in a mapped world? My response is that we need to make and remake maps not only </w:t>
      </w:r>
      <w:proofErr w:type="gramStart"/>
      <w:r>
        <w:t>in order to</w:t>
      </w:r>
      <w:proofErr w:type="gramEnd"/>
      <w:r>
        <w:t xml:space="preserve"> confront the forms of control but also so we can expose the underlying mechanisms. Most of all </w:t>
      </w:r>
      <w:r>
        <w:rPr>
          <w:b/>
        </w:rPr>
        <w:t xml:space="preserve">we need to produce counter-maps </w:t>
      </w:r>
      <w:proofErr w:type="gramStart"/>
      <w:r>
        <w:rPr>
          <w:b/>
        </w:rPr>
        <w:t>in order to</w:t>
      </w:r>
      <w:proofErr w:type="gramEnd"/>
      <w:r>
        <w:rPr>
          <w:b/>
        </w:rPr>
        <w:t xml:space="preserve"> create actions that might affect our perceptions of social space and its different vectors</w:t>
      </w:r>
      <w:r>
        <w:t>, to change our modes of looking at the world and create new dialogues and discoveries. … This redefinition of cartography is an expression of dissent against the power executed by privileged groups who seek to dominate others. … A statement cited from an interview I did with the members of the Counter-Cartography Collective seems to summarize the spirit of this proposal in other words: “</w:t>
      </w:r>
      <w:r>
        <w:rPr>
          <w:b/>
        </w:rPr>
        <w:t>To map systems of oppression, not oppressed people!”</w:t>
      </w:r>
    </w:p>
    <w:p w14:paraId="6430DB86" w14:textId="77777777" w:rsidR="00076776" w:rsidRDefault="00076776">
      <w:pPr>
        <w:ind w:left="720"/>
      </w:pPr>
    </w:p>
    <w:p w14:paraId="416290C7" w14:textId="77777777" w:rsidR="00076776" w:rsidRDefault="00000000">
      <w:pPr>
        <w:pStyle w:val="Heading2"/>
      </w:pPr>
      <w:r>
        <w:t>Secondary quotes</w:t>
      </w:r>
    </w:p>
    <w:p w14:paraId="7D58E7C0" w14:textId="77777777" w:rsidR="00076776" w:rsidRDefault="00000000">
      <w:r>
        <w:t>323 [</w:t>
      </w:r>
      <w:r>
        <w:rPr>
          <w:highlight w:val="magenta"/>
        </w:rPr>
        <w:t>Krygier &amp; Wood</w:t>
      </w:r>
      <w:r>
        <w:t xml:space="preserve">: “Towards </w:t>
      </w:r>
      <w:proofErr w:type="spellStart"/>
      <w:r>
        <w:t>unMaking</w:t>
      </w:r>
      <w:proofErr w:type="spellEnd"/>
      <w:r>
        <w:t xml:space="preserve"> Maps: A Guide to Experiments in </w:t>
      </w:r>
      <w:proofErr w:type="spellStart"/>
      <w:r>
        <w:t>Paracartography</w:t>
      </w:r>
      <w:proofErr w:type="spellEnd"/>
      <w:r>
        <w:t xml:space="preserve">”] @Reason@Acad The problem with cartography ... the </w:t>
      </w:r>
      <w:r>
        <w:rPr>
          <w:i/>
        </w:rPr>
        <w:t>problem</w:t>
      </w:r>
      <w:r>
        <w:t xml:space="preserve">? The </w:t>
      </w:r>
      <w:r>
        <w:rPr>
          <w:i/>
        </w:rPr>
        <w:t>problems</w:t>
      </w:r>
      <w:r>
        <w:t xml:space="preserve">. There are so many of them! The list doesn’t stop. It just goes on and on. It’s hard even to know where to start. There’s the data, first of all, with its usual presumptions of ... </w:t>
      </w:r>
      <w:r>
        <w:rPr>
          <w:i/>
        </w:rPr>
        <w:t>objectivity</w:t>
      </w:r>
      <w:r>
        <w:t xml:space="preserve"> (whatever that’s supposed to mean); and then there’s the host of garbagy ... </w:t>
      </w:r>
      <w:r>
        <w:rPr>
          <w:i/>
        </w:rPr>
        <w:t>methods</w:t>
      </w:r>
      <w:r>
        <w:t xml:space="preserve">, with their pretensions of accuracy and precision; and finally there’s the pointlessness of it all – of so much of it – of the making of maps simply to be making maps, like we can’t live without them, like no one ever went anywhere until they had Google Maps on their phones, like the affectation of the </w:t>
      </w:r>
      <w:r>
        <w:rPr>
          <w:i/>
        </w:rPr>
        <w:t>need</w:t>
      </w:r>
      <w:r>
        <w:t xml:space="preserve"> for maps, as though ... what? as though the world would grind to a halt without them? </w:t>
      </w:r>
    </w:p>
    <w:p w14:paraId="56BF9933" w14:textId="77777777" w:rsidR="00076776" w:rsidRDefault="00000000">
      <w:r>
        <w:t>We don’t get it!</w:t>
      </w:r>
    </w:p>
    <w:p w14:paraId="0F651B50" w14:textId="77777777" w:rsidR="00076776" w:rsidRDefault="00000000">
      <w:r>
        <w:t xml:space="preserve">And </w:t>
      </w:r>
      <w:r>
        <w:rPr>
          <w:i/>
        </w:rPr>
        <w:t>we</w:t>
      </w:r>
      <w:r>
        <w:t xml:space="preserve"> like maps. / 324 </w:t>
      </w:r>
      <w:proofErr w:type="spellStart"/>
      <w:r>
        <w:t>unMaking</w:t>
      </w:r>
      <w:proofErr w:type="spellEnd"/>
      <w:r>
        <w:t xml:space="preserve"> Maps want to recover what </w:t>
      </w:r>
      <w:proofErr w:type="gramStart"/>
      <w:r>
        <w:t xml:space="preserve">actually </w:t>
      </w:r>
      <w:r>
        <w:rPr>
          <w:i/>
        </w:rPr>
        <w:t>is</w:t>
      </w:r>
      <w:proofErr w:type="gramEnd"/>
      <w:r>
        <w:t xml:space="preserve"> lost when everything is given away, and we think the easiest way to do this is by making fun of cartography as she’s writ. Laughter: it undoes every authority. … In both cases, instead of adding to the volume of stuff written about maps, John did what had to be done, </w:t>
      </w:r>
      <w:r>
        <w:rPr>
          <w:b/>
        </w:rPr>
        <w:t xml:space="preserve">used his hands to defeat the verbal </w:t>
      </w:r>
      <w:r>
        <w:rPr>
          <w:b/>
        </w:rPr>
        <w:lastRenderedPageBreak/>
        <w:t>onslaught from the academic hacks</w:t>
      </w:r>
      <w:r>
        <w:t xml:space="preserve">, made things, performed a material intervention against the flow of words. And with the mouth in a smile, it becomes much easier to question other </w:t>
      </w:r>
      <w:r>
        <w:rPr>
          <w:b/>
        </w:rPr>
        <w:t>cartographic shibboleths</w:t>
      </w:r>
      <w:r>
        <w:t xml:space="preserve">, like scale, margins, orientation, legends, size, readers, words, symbols, purpose, audience, materiality, need for, legibility, intelligibility – hell, everything. </w:t>
      </w:r>
      <w:r>
        <w:rPr>
          <w:b/>
        </w:rPr>
        <w:t xml:space="preserve">Playing – </w:t>
      </w:r>
      <w:r>
        <w:rPr>
          <w:b/>
          <w:i/>
        </w:rPr>
        <w:t>playing!</w:t>
      </w:r>
      <w:r>
        <w:t xml:space="preserve"> – with these opens a thousand doors onto extraordinary </w:t>
      </w:r>
      <w:proofErr w:type="spellStart"/>
      <w:r>
        <w:t>paracartographic</w:t>
      </w:r>
      <w:proofErr w:type="spellEnd"/>
      <w:r>
        <w:t xml:space="preserve"> possibilities. / </w:t>
      </w:r>
    </w:p>
    <w:p w14:paraId="34D5811D" w14:textId="77777777" w:rsidR="00076776" w:rsidRDefault="00076776"/>
    <w:p w14:paraId="7DC70016" w14:textId="77777777" w:rsidR="00076776" w:rsidRDefault="00000000">
      <w:pPr>
        <w:pStyle w:val="Heading2"/>
      </w:pPr>
      <w:r>
        <w:t>Notes</w:t>
      </w:r>
    </w:p>
    <w:p w14:paraId="565B41EE" w14:textId="77777777" w:rsidR="00076776" w:rsidRDefault="00000000">
      <w:r>
        <w:rPr>
          <w:highlight w:val="green"/>
        </w:rPr>
        <w:t>324 @Perf@Play@FFessay@WIAM@Diss in 323</w:t>
      </w:r>
      <w:r>
        <w:t xml:space="preserve"> </w:t>
      </w:r>
      <w:r>
        <w:rPr>
          <w:highlight w:val="magenta"/>
        </w:rPr>
        <w:t>Krygier &amp; Wood</w:t>
      </w:r>
      <w:r>
        <w:t xml:space="preserve">: “Towards </w:t>
      </w:r>
      <w:proofErr w:type="spellStart"/>
      <w:r>
        <w:t>unMaking</w:t>
      </w:r>
      <w:proofErr w:type="spellEnd"/>
      <w:r>
        <w:t xml:space="preserve"> Maps: A Guide to Experiments in </w:t>
      </w:r>
      <w:proofErr w:type="spellStart"/>
      <w:r>
        <w:t>Paracartography</w:t>
      </w:r>
      <w:proofErr w:type="spellEnd"/>
      <w:r>
        <w:t>”</w:t>
      </w:r>
    </w:p>
    <w:p w14:paraId="05FD1D8F" w14:textId="77777777" w:rsidR="00076776" w:rsidRDefault="00076776"/>
    <w:p w14:paraId="5A639F1C" w14:textId="77777777" w:rsidR="00076776" w:rsidRDefault="00000000">
      <w:pPr>
        <w:ind w:left="720"/>
      </w:pPr>
      <w:r>
        <w:t xml:space="preserve">Playing – </w:t>
      </w:r>
      <w:r>
        <w:rPr>
          <w:i/>
        </w:rPr>
        <w:t>playing!</w:t>
      </w:r>
      <w:r>
        <w:t xml:space="preserve"> – with these opens a thousand doors onto extraordinary </w:t>
      </w:r>
      <w:proofErr w:type="spellStart"/>
      <w:r>
        <w:t>paracartographic</w:t>
      </w:r>
      <w:proofErr w:type="spellEnd"/>
      <w:r>
        <w:t xml:space="preserve"> possibilities [see Terms, above]. </w:t>
      </w:r>
    </w:p>
    <w:p w14:paraId="3ADBDCCC" w14:textId="77777777" w:rsidR="00076776" w:rsidRDefault="00076776"/>
    <w:p w14:paraId="1FB25FF8" w14:textId="77777777" w:rsidR="00076776" w:rsidRDefault="00000000">
      <w:r>
        <w:t xml:space="preserve">Fruitful connections to notions of “critical play” on offer, here, but also the risk of muting through analysis an actual act, as opposed to an academic one: words, and more words, in a particular order, with </w:t>
      </w:r>
      <w:proofErr w:type="gramStart"/>
      <w:r>
        <w:t>particular citations</w:t>
      </w:r>
      <w:proofErr w:type="gramEnd"/>
      <w:r>
        <w:t xml:space="preserve">. Is this the collective lament of lifer-academics? Likely, but my read of this call has more to do with working outside the typical cartographic and academic limits imposed by these respective orthodoxies—it is not a rebellion as much as actual research </w:t>
      </w:r>
      <w:r>
        <w:rPr>
          <w:i/>
        </w:rPr>
        <w:t>as</w:t>
      </w:r>
      <w:r>
        <w:t xml:space="preserve"> practice. </w:t>
      </w:r>
    </w:p>
    <w:p w14:paraId="1918691D" w14:textId="77777777" w:rsidR="00076776" w:rsidRDefault="00076776"/>
    <w:p w14:paraId="588543F7" w14:textId="77777777" w:rsidR="00076776" w:rsidRDefault="00000000">
      <w:r>
        <w:t>@Diss sources</w:t>
      </w:r>
    </w:p>
    <w:p w14:paraId="0B8D510C" w14:textId="77777777" w:rsidR="00076776" w:rsidRDefault="00000000">
      <w:r>
        <w:rPr>
          <w:highlight w:val="magenta"/>
        </w:rPr>
        <w:t>Wood</w:t>
      </w:r>
      <w:r>
        <w:t xml:space="preserve">, D. 2003. Cartography is Dead (Thank God!). </w:t>
      </w:r>
      <w:r>
        <w:rPr>
          <w:i/>
        </w:rPr>
        <w:t>Cartographic Perspectives</w:t>
      </w:r>
      <w:r>
        <w:t>, 45: 4-7.</w:t>
      </w:r>
    </w:p>
    <w:p w14:paraId="476AE591" w14:textId="77777777" w:rsidR="00076776" w:rsidRDefault="00000000">
      <w:r>
        <w:t xml:space="preserve">Wood, D. 1992. </w:t>
      </w:r>
      <w:r>
        <w:rPr>
          <w:i/>
        </w:rPr>
        <w:t>The Power of Maps</w:t>
      </w:r>
      <w:r>
        <w:t>. New York: Guilford.</w:t>
      </w:r>
    </w:p>
    <w:p w14:paraId="6AF5CBF5" w14:textId="77777777" w:rsidR="00076776" w:rsidRDefault="00076776"/>
    <w:p w14:paraId="729E5F80" w14:textId="77777777" w:rsidR="00076776" w:rsidRDefault="00000000">
      <w:r>
        <w:t>276 @Diss@UL@Poetry</w:t>
      </w:r>
    </w:p>
    <w:p w14:paraId="40C2A81D" w14:textId="77777777" w:rsidR="00076776" w:rsidRDefault="00000000">
      <w:r>
        <w:t xml:space="preserve">Check out the </w:t>
      </w:r>
      <w:r>
        <w:rPr>
          <w:b/>
        </w:rPr>
        <w:t xml:space="preserve">Tyneside’s </w:t>
      </w:r>
      <w:proofErr w:type="spellStart"/>
      <w:r>
        <w:rPr>
          <w:b/>
        </w:rPr>
        <w:t>Skateworlds</w:t>
      </w:r>
      <w:proofErr w:type="spellEnd"/>
      <w:r>
        <w:rPr>
          <w:b/>
        </w:rPr>
        <w:t xml:space="preserve"> and Their Transformation</w:t>
      </w:r>
      <w:r>
        <w:t xml:space="preserve"> piece… </w:t>
      </w:r>
    </w:p>
    <w:p w14:paraId="06B828B2" w14:textId="77777777" w:rsidR="00076776" w:rsidRDefault="00076776"/>
    <w:p w14:paraId="61FDE511" w14:textId="77777777" w:rsidR="00076776" w:rsidRDefault="00000000">
      <w:r>
        <w:t>276: In this way maps become “writerly texts” where the “purpose is to see texts as producing an open series of readings, each of which requires that the reader also be in part author of meaning” (Pickles, 2004: 174). … The map created an opportunity for skaters to represent and eulogize their world, giving them permission to be proud. This was demonstrated as skaters showed their parents what they had contributed and the spots they went to around the city. Exploratory processes such as this one also illustrate the role of the map as something to examine and learn from. We learnt the social dimensions of skate spots, the journeys skaters take between them, and how they are valued within the community. Skaters shared with us stories and legends of tricks of the past, and the temporal and spatial rhythms of their world.</w:t>
      </w:r>
    </w:p>
    <w:p w14:paraId="6449A40D" w14:textId="77777777" w:rsidR="00076776" w:rsidRDefault="00000000">
      <w:pPr>
        <w:pStyle w:val="Heading1"/>
      </w:pPr>
      <w:bookmarkStart w:id="43" w:name="_heading=h.4f1mdlm" w:colFirst="0" w:colLast="0"/>
      <w:bookmarkEnd w:id="43"/>
      <w:r>
        <w:lastRenderedPageBreak/>
        <w:t xml:space="preserve">(2019) Eckstein &amp; Schwarz, “The Making of Tupaia’s Map: A Story of the Extent and Mastery of Polynesian Navigation, Competing Systems of Wayfinding on James Cook’s </w:t>
      </w:r>
      <w:r>
        <w:rPr>
          <w:i/>
        </w:rPr>
        <w:t>Endeavour</w:t>
      </w:r>
      <w:r>
        <w:t>, and the Invention of an Ingenious Cartographic System”</w:t>
      </w:r>
    </w:p>
    <w:p w14:paraId="78276F9F" w14:textId="77777777" w:rsidR="00076776" w:rsidRDefault="00076776"/>
    <w:p w14:paraId="1BF20BFE" w14:textId="77777777" w:rsidR="00076776" w:rsidRDefault="00000000">
      <w:pPr>
        <w:pStyle w:val="Heading2"/>
      </w:pPr>
      <w:r>
        <w:t>Abstract</w:t>
      </w:r>
    </w:p>
    <w:p w14:paraId="2FC2D209" w14:textId="77777777" w:rsidR="00076776" w:rsidRDefault="00000000">
      <w:r>
        <w:t xml:space="preserve">Sheds new light on the workings and ontological underpinnings of </w:t>
      </w:r>
      <w:hyperlink r:id="rId37">
        <w:r w:rsidR="00076776">
          <w:rPr>
            <w:color w:val="0563C1"/>
            <w:u w:val="single"/>
          </w:rPr>
          <w:t>Tupaia’s Map</w:t>
        </w:r>
      </w:hyperlink>
      <w:r>
        <w:t xml:space="preserve">, and shows the mastery of Polynesian navigation and Tupaia’s capacity to translate the same into European wayfinding systems. </w:t>
      </w:r>
    </w:p>
    <w:p w14:paraId="6000770A" w14:textId="77777777" w:rsidR="00076776" w:rsidRDefault="00076776"/>
    <w:p w14:paraId="0CE39753" w14:textId="77777777" w:rsidR="00076776" w:rsidRDefault="00000000">
      <w:pPr>
        <w:pStyle w:val="Heading2"/>
      </w:pPr>
      <w:r>
        <w:t>Key words</w:t>
      </w:r>
    </w:p>
    <w:p w14:paraId="1230F2B8" w14:textId="77777777" w:rsidR="00076776" w:rsidRDefault="00000000">
      <w:r>
        <w:t>cartography, maps, first contact, wayfinding, star navigation, sea of islands, translation, Indigenous knowledges and ontologies, Tupaia</w:t>
      </w:r>
    </w:p>
    <w:p w14:paraId="7ADC2CB8" w14:textId="77777777" w:rsidR="00076776" w:rsidRDefault="00076776"/>
    <w:p w14:paraId="6BAC91AB" w14:textId="77777777" w:rsidR="00076776" w:rsidRDefault="00000000">
      <w:pPr>
        <w:pStyle w:val="Heading2"/>
      </w:pPr>
      <w:r>
        <w:t>Essential quote</w:t>
      </w:r>
    </w:p>
    <w:p w14:paraId="565D2C81" w14:textId="77777777" w:rsidR="00076776" w:rsidRDefault="00000000">
      <w:r>
        <w:t>2: The map is also testament to the extent to which this highly specialized knowledge could be shared across cultural, political and epistemological boundaries, despite all difficulties of communication, when Tupaia joined the Endeavour’s crew in 1769 on James Cook’s first voyage to the Pacific. More than anything else, it attests to the great subtlety and sophistication of Tupaia’s skills as cultural go-between and mediator between knowledges.</w:t>
      </w:r>
    </w:p>
    <w:p w14:paraId="4F81338B" w14:textId="77777777" w:rsidR="00076776" w:rsidRDefault="00076776"/>
    <w:p w14:paraId="2AA33DCE" w14:textId="77777777" w:rsidR="00076776" w:rsidRDefault="00000000">
      <w:pPr>
        <w:pStyle w:val="Heading2"/>
      </w:pPr>
      <w:r>
        <w:t>Terms</w:t>
      </w:r>
    </w:p>
    <w:p w14:paraId="5386C74D" w14:textId="77777777" w:rsidR="00076776" w:rsidRDefault="00000000">
      <w:r>
        <w:t xml:space="preserve">27: </w:t>
      </w:r>
      <w:proofErr w:type="spellStart"/>
      <w:r>
        <w:rPr>
          <w:b/>
          <w:i/>
        </w:rPr>
        <w:t>avatea</w:t>
      </w:r>
      <w:proofErr w:type="spellEnd"/>
      <w:r>
        <w:t xml:space="preserve">: Tupaia’s Indigenous cartographic system. “Tupaia invented from scratch a completely new and ingenious cartographic system. For these purposes, he requested a little word to be placed at the very centre of the map, just where the cardinal axes cross: </w:t>
      </w:r>
      <w:proofErr w:type="spellStart"/>
      <w:r>
        <w:rPr>
          <w:i/>
        </w:rPr>
        <w:t>avatea</w:t>
      </w:r>
      <w:proofErr w:type="spellEnd"/>
      <w:r>
        <w:t xml:space="preserve">.” [32] “In the vocabulary lists collected by Banks, Solander, Monkhouse and others, </w:t>
      </w:r>
      <w:proofErr w:type="spellStart"/>
      <w:r>
        <w:rPr>
          <w:i/>
        </w:rPr>
        <w:t>avatea</w:t>
      </w:r>
      <w:proofErr w:type="spellEnd"/>
      <w:r>
        <w:t xml:space="preserve"> is consistently translated as ‘noon’ (</w:t>
      </w:r>
      <w:r>
        <w:rPr>
          <w:i/>
        </w:rPr>
        <w:t xml:space="preserve">e </w:t>
      </w:r>
      <w:proofErr w:type="spellStart"/>
      <w:r>
        <w:rPr>
          <w:i/>
        </w:rPr>
        <w:t>avatea</w:t>
      </w:r>
      <w:proofErr w:type="spellEnd"/>
      <w:r>
        <w:t xml:space="preserve"> = the noon) and determined by the</w:t>
      </w:r>
    </w:p>
    <w:p w14:paraId="7498A90A" w14:textId="77777777" w:rsidR="00076776" w:rsidRDefault="00000000">
      <w:r>
        <w:t>highest elevation of the sun on its daily course.” [33] “…</w:t>
      </w:r>
      <w:proofErr w:type="spellStart"/>
      <w:r>
        <w:rPr>
          <w:i/>
        </w:rPr>
        <w:t>avatea</w:t>
      </w:r>
      <w:proofErr w:type="spellEnd"/>
      <w:r>
        <w:t xml:space="preserve"> marks the noon position of</w:t>
      </w:r>
    </w:p>
    <w:p w14:paraId="1F99DD32" w14:textId="77777777" w:rsidR="00076776" w:rsidRDefault="00000000">
      <w:r>
        <w:t>the sun. We hold it to be very likely that the island drawn on T1 next to ‘</w:t>
      </w:r>
      <w:proofErr w:type="spellStart"/>
      <w:r>
        <w:t>Eawatea</w:t>
      </w:r>
      <w:proofErr w:type="spellEnd"/>
      <w:r>
        <w:t>’ was</w:t>
      </w:r>
    </w:p>
    <w:p w14:paraId="6CC784AE" w14:textId="77777777" w:rsidR="00076776" w:rsidRDefault="00000000">
      <w:r>
        <w:t xml:space="preserve">not meant to be an island at all, but perhaps an illustration of the ball of the sun.” </w:t>
      </w:r>
    </w:p>
    <w:p w14:paraId="3D39E5EC" w14:textId="77777777" w:rsidR="00076776" w:rsidRDefault="00076776"/>
    <w:p w14:paraId="713658FC" w14:textId="77777777" w:rsidR="00076776" w:rsidRDefault="00000000">
      <w:pPr>
        <w:pStyle w:val="Heading2"/>
      </w:pPr>
      <w:r>
        <w:t>Core quotes</w:t>
      </w:r>
    </w:p>
    <w:p w14:paraId="4D00BBF9" w14:textId="77777777" w:rsidR="00076776" w:rsidRDefault="00076776"/>
    <w:p w14:paraId="30382609" w14:textId="77777777" w:rsidR="00076776" w:rsidRDefault="00000000">
      <w:r>
        <w:t xml:space="preserve">2 </w:t>
      </w:r>
      <w:proofErr w:type="spellStart"/>
      <w:r>
        <w:t>ISr@IK@Hist@OralEx@Epistem@Map</w:t>
      </w:r>
      <w:proofErr w:type="spellEnd"/>
    </w:p>
    <w:p w14:paraId="7517F44B" w14:textId="77777777" w:rsidR="00076776" w:rsidRDefault="00000000">
      <w:pPr>
        <w:ind w:left="720"/>
      </w:pPr>
      <w:r>
        <w:t xml:space="preserve">The map is also testament to the extent to which this highly specialized knowledge could be shared across cultural, political and epistemological boundaries, despite all difficulties of communication, when Tupaia joined the Endeavour’s crew in 1769 on James Cook’s first voyage to the Pacific. More than anything else, it attests to the great subtlety and </w:t>
      </w:r>
      <w:r>
        <w:lastRenderedPageBreak/>
        <w:t>sophistication of Tupaia’s skills as cultural go-between and mediator between knowledges. …  Tupaia’s Map has posed a riddle for most of its academic history.</w:t>
      </w:r>
    </w:p>
    <w:p w14:paraId="3303D6F6" w14:textId="77777777" w:rsidR="00076776" w:rsidRDefault="00076776"/>
    <w:p w14:paraId="355A5CA1" w14:textId="77777777" w:rsidR="00076776" w:rsidRDefault="00000000">
      <w:r>
        <w:t>2-3 @DoD@Reason@Map</w:t>
      </w:r>
    </w:p>
    <w:p w14:paraId="66A06E58" w14:textId="77777777" w:rsidR="00076776" w:rsidRDefault="00000000">
      <w:pPr>
        <w:ind w:left="720"/>
      </w:pPr>
      <w:r>
        <w:t>Tupaia’s Map emerged in the context of consecutive European ventures into the Pacific at the end of the 18th century and at a time when competitive British and French imperial expansion was being rebranded as scientific as well as philanthropic endeavours. While still fundamentally motivated by the desire to extend geopolitical influence, in terms of both military and economic dominance in the wider region, voyaging was now also propagated in the name of enlightened ideals of knowledge and friendship. The Endeavour’s voyage set the precedent for Britain in this context: along with officers, sailors and marines, a significant share of the ship’s crew was made up of naturalists and draftsmen under Joseph Banks’s patronage, who turned the ship into a mobile laboratory. Tahiti was the much-anticipated key site for this production of knowledge about the South Seas.</w:t>
      </w:r>
    </w:p>
    <w:p w14:paraId="33B6085A" w14:textId="77777777" w:rsidR="00076776" w:rsidRDefault="00076776"/>
    <w:p w14:paraId="696B2B20" w14:textId="77777777" w:rsidR="00076776" w:rsidRDefault="00000000">
      <w:r>
        <w:t>5 @Arg@ISr@CultBias</w:t>
      </w:r>
    </w:p>
    <w:p w14:paraId="4F6260F0" w14:textId="77777777" w:rsidR="00076776" w:rsidRDefault="00000000">
      <w:pPr>
        <w:ind w:left="720"/>
      </w:pPr>
      <w:r>
        <w:t>Rather than regarding these artefacts [maps and ephemera] predominantly as proof of Tupaia’s astounding capacity to adapt to European representational conventions, we suggest that they should be viewed as part and product of a collaborative, cross-cultural communication process that by default involved at least two, if not more partners. Jointly, these visual materials are proof that those seated around the great cabin’s drawing table were increasingly able to make them- selves understood. …. we need to return them to the moment of their production and try to reconstruct the conversations of which they formed part.</w:t>
      </w:r>
    </w:p>
    <w:p w14:paraId="0C2DA9C3" w14:textId="77777777" w:rsidR="00076776" w:rsidRDefault="00076776"/>
    <w:p w14:paraId="4ED657C2" w14:textId="77777777" w:rsidR="00076776" w:rsidRDefault="00000000">
      <w:r>
        <w:t>20 @Map@IK@Way@Ontol@Narr@Orality</w:t>
      </w:r>
    </w:p>
    <w:p w14:paraId="0FF196FB" w14:textId="77777777" w:rsidR="00076776" w:rsidRDefault="00000000">
      <w:pPr>
        <w:ind w:left="720"/>
      </w:pPr>
      <w:r>
        <w:t xml:space="preserve">Tupaia’s Map, which does not depict an ocean abstracted from the traveller but invites viewers to follow distinct voyaging itineraries through the sea of islands. … </w:t>
      </w:r>
      <w:r>
        <w:rPr>
          <w:b/>
        </w:rPr>
        <w:t xml:space="preserve">Narrative sequence was of major importance in precolonial Oceanic navigation </w:t>
      </w:r>
      <w:r>
        <w:t xml:space="preserve">which neither used nor needed manifest maps or instruments. In </w:t>
      </w:r>
      <w:r>
        <w:rPr>
          <w:b/>
        </w:rPr>
        <w:t>Oceania’s oral culture, narrative was the primary tool to memorize and transmit complex accounts of interconnected voyaging routes through the sea of islands.</w:t>
      </w:r>
      <w:r>
        <w:rPr>
          <w:rFonts w:ascii="Times" w:eastAsia="Times" w:hAnsi="Times" w:cs="Times"/>
          <w:color w:val="000000"/>
          <w:sz w:val="22"/>
          <w:szCs w:val="22"/>
        </w:rPr>
        <w:t xml:space="preserve"> … </w:t>
      </w:r>
      <w:r>
        <w:t xml:space="preserve">Oceanic geography was, like Oceanic history, genealogy and all other matters of education, a narrative art, taught and memorized at specialized </w:t>
      </w:r>
      <w:r>
        <w:rPr>
          <w:i/>
        </w:rPr>
        <w:t>marae</w:t>
      </w:r>
      <w:r>
        <w:t xml:space="preserve"> primarily through the recitation of chants.</w:t>
      </w:r>
    </w:p>
    <w:p w14:paraId="4239C512" w14:textId="77777777" w:rsidR="00076776" w:rsidRDefault="00076776"/>
    <w:p w14:paraId="3D4A0B9F" w14:textId="77777777" w:rsidR="00076776" w:rsidRDefault="00000000">
      <w:r>
        <w:t xml:space="preserve">@K? Can we consider European maps as “narratives” of a different kind? Is an absence of linearity a type of narrative in itself? Could we see toponyms as a non-sequential narrative, or could we say that the sequential element happens subversively, subliminally, in the presumed hierarchy of the names on a map, with colonial figures like “Mount Doug” at the top and Indigenous names (actual Indigenous names, and not Anglicizations) on the bottom, as in the spot of the new James Bay library: </w:t>
      </w:r>
      <w:proofErr w:type="spellStart"/>
      <w:r>
        <w:t>sxʷeŋxʷəŋ</w:t>
      </w:r>
      <w:proofErr w:type="spellEnd"/>
      <w:r>
        <w:t xml:space="preserve"> </w:t>
      </w:r>
      <w:proofErr w:type="spellStart"/>
      <w:r>
        <w:t>təŋəxʷ</w:t>
      </w:r>
      <w:proofErr w:type="spellEnd"/>
      <w:r>
        <w:t xml:space="preserve"> (s-</w:t>
      </w:r>
      <w:proofErr w:type="spellStart"/>
      <w:r>
        <w:t>hweng</w:t>
      </w:r>
      <w:proofErr w:type="spellEnd"/>
      <w:r>
        <w:t xml:space="preserve"> </w:t>
      </w:r>
      <w:proofErr w:type="spellStart"/>
      <w:r>
        <w:t>hw-ung</w:t>
      </w:r>
      <w:proofErr w:type="spellEnd"/>
      <w:r>
        <w:t xml:space="preserve"> tongue-</w:t>
      </w:r>
      <w:proofErr w:type="spellStart"/>
      <w:r>
        <w:t>oo</w:t>
      </w:r>
      <w:proofErr w:type="spellEnd"/>
      <w:r>
        <w:t>-</w:t>
      </w:r>
      <w:proofErr w:type="spellStart"/>
      <w:r>
        <w:t>hw</w:t>
      </w:r>
      <w:proofErr w:type="spellEnd"/>
      <w:r>
        <w:t>)?</w:t>
      </w:r>
    </w:p>
    <w:p w14:paraId="5CACA28F" w14:textId="77777777" w:rsidR="00076776" w:rsidRDefault="00076776"/>
    <w:p w14:paraId="65E532F2" w14:textId="77777777" w:rsidR="00076776" w:rsidRDefault="00076776"/>
    <w:p w14:paraId="24E05671" w14:textId="77777777" w:rsidR="00076776" w:rsidRDefault="00000000">
      <w:r>
        <w:t>29 @CogImp@Ontol@Map@CGaze</w:t>
      </w:r>
    </w:p>
    <w:p w14:paraId="4D60EF70" w14:textId="77777777" w:rsidR="00076776" w:rsidRDefault="00000000">
      <w:pPr>
        <w:ind w:left="720"/>
      </w:pPr>
      <w:r>
        <w:lastRenderedPageBreak/>
        <w:t xml:space="preserve">We have become so naturalized to the Western approach to modelling geographical space that it is important to remind ourselves how artificial it </w:t>
      </w:r>
      <w:proofErr w:type="gramStart"/>
      <w:r>
        <w:t>actually is</w:t>
      </w:r>
      <w:proofErr w:type="gramEnd"/>
      <w:r>
        <w:t xml:space="preserve">. It conceives of a world that is abstracted from the traveller, objectivized and fixed in two-dimensional cartographic representations. </w:t>
      </w:r>
      <w:proofErr w:type="gramStart"/>
      <w:r>
        <w:t>In order to</w:t>
      </w:r>
      <w:proofErr w:type="gramEnd"/>
      <w:r>
        <w:t xml:space="preserve"> be able to represent larger geographic surfaces in small scale, it needs to flatten out the earth’s spherical shape by using one or the other of a whole range of possible projection techniques. Nautical navigation to this day relies on the so-called Mercator style of projection, as it is faithful to angles and concomitant bearing patterns that are paramount for navigational orientation (while it distorts the size and shape of spatial surfaces). … It was in London, after all, in the Admiralty’s headquarters, that all knowledge collected on Britain’s voyages of exploration (geographical, yet also geological, biological, ethnographic) was archived, new maps were compiled, and new explorers were instructed. The entanglement of state, science and cartography, of which the choice of Greenwich is evocative, was the outcome of joint processes of cognitive and social ordering that were exerting increasing power in the closing decades of the 18th century, when the Endeavour embarked on its voyage.</w:t>
      </w:r>
      <w:r>
        <w:rPr>
          <w:vertAlign w:val="superscript"/>
        </w:rPr>
        <w:t>57</w:t>
      </w:r>
    </w:p>
    <w:p w14:paraId="1ACE72FB" w14:textId="77777777" w:rsidR="00076776" w:rsidRDefault="00076776"/>
    <w:p w14:paraId="7D1DD21C" w14:textId="77777777" w:rsidR="00076776" w:rsidRDefault="00000000">
      <w:r>
        <w:t>30-31 @Ontol@Map@Way</w:t>
      </w:r>
    </w:p>
    <w:p w14:paraId="7C126E96" w14:textId="77777777" w:rsidR="00076776" w:rsidRDefault="00000000">
      <w:pPr>
        <w:ind w:left="720"/>
      </w:pPr>
      <w:r>
        <w:t xml:space="preserve">We understand that Oceanic navigation did not abstract the world from the navigator and did not fix it from an abstract exterior focal point of orientation. On the contrary, the geographic centre of navigational orientation was inevitably the navigator, and the </w:t>
      </w:r>
      <w:proofErr w:type="spellStart"/>
      <w:r>
        <w:rPr>
          <w:i/>
        </w:rPr>
        <w:t>pahi</w:t>
      </w:r>
      <w:proofErr w:type="spellEnd"/>
      <w:r>
        <w:t>, the voyaging canoe (in Society Islander terms), which was imagined as fixed, surrounded by an animate world of ocean, sea life, wind, current, sun, stars, planets, and ultimately islands.</w:t>
      </w:r>
    </w:p>
    <w:p w14:paraId="6A29586A" w14:textId="77777777" w:rsidR="00076776" w:rsidRDefault="00076776"/>
    <w:p w14:paraId="4F31D850" w14:textId="77777777" w:rsidR="00076776" w:rsidRDefault="00000000">
      <w:pPr>
        <w:pStyle w:val="Heading2"/>
      </w:pPr>
      <w:r>
        <w:t>Secondary quotes</w:t>
      </w:r>
    </w:p>
    <w:p w14:paraId="46444DED" w14:textId="77777777" w:rsidR="00076776" w:rsidRDefault="00000000">
      <w:r>
        <w:t xml:space="preserve">4 </w:t>
      </w:r>
      <w:proofErr w:type="gramStart"/>
      <w:r>
        <w:t>reason</w:t>
      </w:r>
      <w:proofErr w:type="gramEnd"/>
      <w:r>
        <w:t xml:space="preserve"> for being in Tahiti: “… </w:t>
      </w:r>
      <w:r>
        <w:rPr>
          <w:b/>
        </w:rPr>
        <w:t>the transit of Venus</w:t>
      </w:r>
      <w:r>
        <w:t xml:space="preserve"> across the sun, the choice of the British Admiralty fell on Tahiti. In due course the </w:t>
      </w:r>
      <w:r>
        <w:rPr>
          <w:i/>
        </w:rPr>
        <w:t>Endeavour</w:t>
      </w:r>
      <w:r>
        <w:t xml:space="preserve"> was to spend three months at anchor in </w:t>
      </w:r>
      <w:proofErr w:type="spellStart"/>
      <w:r>
        <w:t>Matavai</w:t>
      </w:r>
      <w:proofErr w:type="spellEnd"/>
      <w:r>
        <w:t xml:space="preserve"> Bay between 13 April and 13 July 1769, where a fort was set up for astronomical observations, while </w:t>
      </w:r>
      <w:r>
        <w:rPr>
          <w:highlight w:val="magenta"/>
        </w:rPr>
        <w:t>Cook</w:t>
      </w:r>
      <w:r>
        <w:t xml:space="preserve"> charted the island and </w:t>
      </w:r>
      <w:r>
        <w:rPr>
          <w:highlight w:val="magenta"/>
        </w:rPr>
        <w:t>Banks</w:t>
      </w:r>
      <w:r>
        <w:t xml:space="preserve"> and his men had ample time to observe, sketch, collect and botanize.” / 4-6 Tupaia’s bio / </w:t>
      </w:r>
      <w:r>
        <w:rPr>
          <w:b/>
        </w:rPr>
        <w:t>Three versions of T’s map</w:t>
      </w:r>
      <w:r>
        <w:t xml:space="preserve"> discussed from pp. 6-12. with “the British Library version of Tupaia’s Map is a fair copy of the third and final draft version…” / 8 @Cogimp “In the process of creating his own interpretation of Tupaia’s Map, </w:t>
      </w:r>
      <w:r>
        <w:rPr>
          <w:highlight w:val="magenta"/>
        </w:rPr>
        <w:t>Johann Reinhold Forster</w:t>
      </w:r>
      <w:r>
        <w:t xml:space="preserve"> substantially interfered with the two drafts he had received. First, he fixed the chart on a scale of latitude and longitude from Greenwich, both missing from the draft maps. In this process, he significantly distorted the layout of his models, stretching them along the east–west axis.” / 14 </w:t>
      </w:r>
      <w:proofErr w:type="gramStart"/>
      <w:r>
        <w:t>section</w:t>
      </w:r>
      <w:proofErr w:type="gramEnd"/>
      <w:r>
        <w:t xml:space="preserve">: Island lists and Tupaia’s Map as recorded by James Cook / 16-17 “Cook suggested that Tupaia draw a map, to indicate the location of all those islands he was no longer inclined to find. While this had to be a communal project, involving </w:t>
      </w:r>
      <w:proofErr w:type="gramStart"/>
      <w:r>
        <w:t>a number of</w:t>
      </w:r>
      <w:proofErr w:type="gramEnd"/>
      <w:r>
        <w:t xml:space="preserve"> Tupaia’s interlocutors including Cook himself, it was probably Richard Pickersgill who was assigned the task of assisting Tupaia in the drawing of the chart.” / 21 @ISr Collaboration model: “Tupaia was also an important collaborator in the production of a fascinating chart of the Leeward Society Islands focusing on ethnographic information and </w:t>
      </w:r>
      <w:r>
        <w:rPr>
          <w:b/>
        </w:rPr>
        <w:t>not following European models of cartographic projection</w:t>
      </w:r>
      <w:r>
        <w:t xml:space="preserve">… </w:t>
      </w:r>
      <w:r>
        <w:rPr>
          <w:b/>
        </w:rPr>
        <w:t xml:space="preserve">Banks, Cook, Pickersgill and Tupaia worked on the chart together over an extended </w:t>
      </w:r>
      <w:proofErr w:type="gramStart"/>
      <w:r>
        <w:rPr>
          <w:b/>
        </w:rPr>
        <w:t>period of time</w:t>
      </w:r>
      <w:proofErr w:type="gramEnd"/>
      <w:r>
        <w:t>… In the process of contributing to this map and seeing this information translated into Cook’s own ‘Chart of the Society Isles’ in Mercator projection,</w:t>
      </w:r>
      <w:r>
        <w:rPr>
          <w:vertAlign w:val="superscript"/>
        </w:rPr>
        <w:t>49</w:t>
      </w:r>
      <w:r>
        <w:t xml:space="preserve"> </w:t>
      </w:r>
      <w:r>
        <w:rPr>
          <w:b/>
        </w:rPr>
        <w:t xml:space="preserve">Tupaia would have acquired increasingly detailed insights into European </w:t>
      </w:r>
      <w:r>
        <w:rPr>
          <w:b/>
        </w:rPr>
        <w:lastRenderedPageBreak/>
        <w:t>mapmaking conventions</w:t>
      </w:r>
      <w:r>
        <w:t xml:space="preserve">.” / 33 On Polynesian cosmographies: “[Tupaia] would have seen the surface of a bowl with openings on the sides through which winds, but also the sun and heavenly bodies, could enter </w:t>
      </w:r>
      <w:proofErr w:type="spellStart"/>
      <w:r>
        <w:rPr>
          <w:i/>
        </w:rPr>
        <w:t>oa</w:t>
      </w:r>
      <w:proofErr w:type="spellEnd"/>
      <w:r>
        <w:t xml:space="preserve">, the visible world, and disappear again into </w:t>
      </w:r>
      <w:r>
        <w:rPr>
          <w:i/>
        </w:rPr>
        <w:t>po</w:t>
      </w:r>
      <w:r>
        <w:t>, the underworld,</w:t>
      </w:r>
    </w:p>
    <w:p w14:paraId="456E6745" w14:textId="77777777" w:rsidR="00076776" w:rsidRDefault="00000000">
      <w:r>
        <w:t xml:space="preserve">attached to and traversing their respective layer of ten skies which arch over the sea of islands.” / @Map@Way And, more on how </w:t>
      </w:r>
      <w:proofErr w:type="spellStart"/>
      <w:r>
        <w:rPr>
          <w:i/>
        </w:rPr>
        <w:t>avatea</w:t>
      </w:r>
      <w:proofErr w:type="spellEnd"/>
      <w:r>
        <w:t xml:space="preserve"> as a kind of cardinal north: “In the Southern Hemisphere, and without any exception south of the Tropic of Capricorn, the noon position of the sun marks due north. Within the tropics things are less clear cut….” / Breakdown, step-by-step of Tupaia’s changes to the maps from pp. 40 (TUPAIA ENTERS THE FIRST TWO VOYAGING PATHS) to 89. / 80 “… we systematically address all five Tahitian captions and provide alternative translations which we worked on in French Polynesia, in authoritative collaboration with </w:t>
      </w:r>
      <w:r>
        <w:rPr>
          <w:highlight w:val="magenta"/>
        </w:rPr>
        <w:t xml:space="preserve">Hinano </w:t>
      </w:r>
      <w:proofErr w:type="spellStart"/>
      <w:r>
        <w:rPr>
          <w:highlight w:val="magenta"/>
        </w:rPr>
        <w:t>Teavai</w:t>
      </w:r>
      <w:proofErr w:type="spellEnd"/>
      <w:r>
        <w:rPr>
          <w:highlight w:val="magenta"/>
        </w:rPr>
        <w:t>-Murphy</w:t>
      </w:r>
      <w:r>
        <w:t xml:space="preserve">.” / 86 Lost in translation example mistaking “friendly ship” for “friendship:” “‘[Tupaia is now on] the ship of (a) </w:t>
      </w:r>
      <w:proofErr w:type="spellStart"/>
      <w:r>
        <w:t>taio</w:t>
      </w:r>
      <w:proofErr w:type="spellEnd"/>
      <w:r>
        <w:t xml:space="preserve"> friend(s)’.” / </w:t>
      </w:r>
    </w:p>
    <w:p w14:paraId="377CAAAB" w14:textId="77777777" w:rsidR="00076776" w:rsidRDefault="00076776"/>
    <w:p w14:paraId="44AC2B7A" w14:textId="77777777" w:rsidR="00076776" w:rsidRDefault="00000000">
      <w:pPr>
        <w:pStyle w:val="Heading2"/>
      </w:pPr>
      <w:r>
        <w:t>Notes</w:t>
      </w:r>
    </w:p>
    <w:p w14:paraId="1C0CBA7E" w14:textId="77777777" w:rsidR="00076776" w:rsidRDefault="00000000">
      <w:r>
        <w:t>See this: http://www.worldview.org.uk/film/tupaias-endeavour/</w:t>
      </w:r>
    </w:p>
    <w:p w14:paraId="2F5B3F14" w14:textId="77777777" w:rsidR="00076776" w:rsidRDefault="00076776"/>
    <w:p w14:paraId="5A8FAACB" w14:textId="77777777" w:rsidR="00076776" w:rsidRDefault="00000000">
      <w:pPr>
        <w:pStyle w:val="Heading1"/>
      </w:pPr>
      <w:bookmarkStart w:id="44" w:name="_heading=h.2u6wntf" w:colFirst="0" w:colLast="0"/>
      <w:bookmarkEnd w:id="44"/>
      <w:r>
        <w:t>&gt;&gt;&gt; HISTORY Readings &lt;&lt;&lt;</w:t>
      </w:r>
    </w:p>
    <w:p w14:paraId="5498275B" w14:textId="77777777" w:rsidR="00076776" w:rsidRDefault="00000000">
      <w:r>
        <w:t xml:space="preserve">This section contains notes on readings to do with BC/VI history, historiography, and historical maps. </w:t>
      </w:r>
    </w:p>
    <w:p w14:paraId="6C2AA054" w14:textId="77777777" w:rsidR="00076776" w:rsidRDefault="00076776"/>
    <w:p w14:paraId="3A55A14A" w14:textId="77777777" w:rsidR="00076776" w:rsidRDefault="00000000">
      <w:pPr>
        <w:pStyle w:val="Heading1"/>
      </w:pPr>
      <w:bookmarkStart w:id="45" w:name="_heading=h.19c6y18" w:colFirst="0" w:colLast="0"/>
      <w:bookmarkEnd w:id="45"/>
      <w:r>
        <w:t xml:space="preserve">(2000) Clayton, </w:t>
      </w:r>
      <w:r>
        <w:rPr>
          <w:i/>
        </w:rPr>
        <w:t>Islands of Truth: The Imperial Fashioning of Vancouver Island</w:t>
      </w:r>
    </w:p>
    <w:p w14:paraId="02196795" w14:textId="77777777" w:rsidR="00076776" w:rsidRDefault="00076776"/>
    <w:p w14:paraId="23A76E7C" w14:textId="77777777" w:rsidR="00076776" w:rsidRDefault="00000000">
      <w:pPr>
        <w:pStyle w:val="Heading2"/>
      </w:pPr>
      <w:r>
        <w:t>Abstract</w:t>
      </w:r>
    </w:p>
    <w:p w14:paraId="69465D18" w14:textId="77777777" w:rsidR="00076776" w:rsidRDefault="00000000">
      <w:r>
        <w:t xml:space="preserve">A specific case to examine more fully the imperial hegemonies and moves that constructed what came to be known as Vancouver Island, conceptually and politically. </w:t>
      </w:r>
    </w:p>
    <w:p w14:paraId="4B6E4E97" w14:textId="77777777" w:rsidR="00076776" w:rsidRDefault="00076776"/>
    <w:p w14:paraId="61C9CDC5" w14:textId="77777777" w:rsidR="00076776" w:rsidRDefault="00000000">
      <w:pPr>
        <w:pStyle w:val="Heading2"/>
      </w:pPr>
      <w:r>
        <w:t>Key words</w:t>
      </w:r>
    </w:p>
    <w:p w14:paraId="15E7F362" w14:textId="77777777" w:rsidR="00076776" w:rsidRDefault="00000000">
      <w:r>
        <w:t>maps, power, imperialism, Vancouver Island history, colonial mechanisms, Nootka Sound, Indigenous-settler relations</w:t>
      </w:r>
    </w:p>
    <w:p w14:paraId="7E70B0E4" w14:textId="77777777" w:rsidR="00076776" w:rsidRDefault="00076776"/>
    <w:p w14:paraId="443F272B" w14:textId="77777777" w:rsidR="00076776" w:rsidRDefault="00000000">
      <w:pPr>
        <w:pStyle w:val="Heading2"/>
      </w:pPr>
      <w:r>
        <w:t>Essential quote</w:t>
      </w:r>
    </w:p>
    <w:p w14:paraId="45CE7EB4" w14:textId="77777777" w:rsidR="00076776" w:rsidRDefault="00000000">
      <w:r>
        <w:t xml:space="preserve">179: “The Proper Authorities to consult are </w:t>
      </w:r>
      <w:r>
        <w:rPr>
          <w:i/>
        </w:rPr>
        <w:t xml:space="preserve">Geographers’, </w:t>
      </w:r>
      <w:r>
        <w:t xml:space="preserve">for although a </w:t>
      </w:r>
      <w:r>
        <w:rPr>
          <w:i/>
        </w:rPr>
        <w:t xml:space="preserve">Map </w:t>
      </w:r>
      <w:r>
        <w:t xml:space="preserve">may not be considered as </w:t>
      </w:r>
      <w:r>
        <w:rPr>
          <w:i/>
        </w:rPr>
        <w:t xml:space="preserve">conclusive, </w:t>
      </w:r>
      <w:r>
        <w:t xml:space="preserve">it must be admitted as </w:t>
      </w:r>
      <w:r>
        <w:rPr>
          <w:i/>
        </w:rPr>
        <w:t xml:space="preserve">presumptive, testimony </w:t>
      </w:r>
      <w:r>
        <w:t xml:space="preserve">of a </w:t>
      </w:r>
      <w:r>
        <w:rPr>
          <w:i/>
        </w:rPr>
        <w:t>fact!’</w:t>
      </w:r>
      <w:r>
        <w:rPr>
          <w:vertAlign w:val="superscript"/>
        </w:rPr>
        <w:t>72</w:t>
      </w:r>
    </w:p>
    <w:p w14:paraId="1DDF9051" w14:textId="77777777" w:rsidR="00076776" w:rsidRDefault="00000000">
      <w:pPr>
        <w:ind w:left="720"/>
      </w:pPr>
      <w:r>
        <w:t xml:space="preserve">Source: Dalrymple, </w:t>
      </w:r>
      <w:r>
        <w:rPr>
          <w:i/>
        </w:rPr>
        <w:t xml:space="preserve">The Spanish pretensions fairly discussed, </w:t>
      </w:r>
      <w:r>
        <w:t>(London: George Bigg, 1790), 8.</w:t>
      </w:r>
    </w:p>
    <w:p w14:paraId="24B02D7F" w14:textId="77777777" w:rsidR="00076776" w:rsidRDefault="00076776"/>
    <w:p w14:paraId="15CE3236" w14:textId="77777777" w:rsidR="00076776" w:rsidRDefault="00000000">
      <w:pPr>
        <w:pStyle w:val="Heading2"/>
      </w:pPr>
      <w:r>
        <w:lastRenderedPageBreak/>
        <w:t>Terms</w:t>
      </w:r>
    </w:p>
    <w:p w14:paraId="226909A0" w14:textId="77777777" w:rsidR="00076776" w:rsidRDefault="00000000">
      <w:r>
        <w:t xml:space="preserve">174 </w:t>
      </w:r>
      <w:r>
        <w:rPr>
          <w:b/>
        </w:rPr>
        <w:t>polities on a world map</w:t>
      </w:r>
      <w:r>
        <w:t>: European powers considered themselves to be what Jean Comaroff and John Comaroff call “polities on a world map”: nation-states whose identities were mediated, to varying degrees, by the way they had explored, carved up, and exploited the world.</w:t>
      </w:r>
    </w:p>
    <w:p w14:paraId="32A307F5" w14:textId="77777777" w:rsidR="00076776" w:rsidRDefault="00000000">
      <w:r>
        <w:t xml:space="preserve">178 </w:t>
      </w:r>
      <w:r>
        <w:rPr>
          <w:b/>
        </w:rPr>
        <w:t>synoptic</w:t>
      </w:r>
      <w:r>
        <w:t xml:space="preserve">: [OED] Of a table, chart, etc.: Pertaining to or forming a synopsis; furnishing a general view of some subject… Pertaining to, involving, or taking a combined or comprehensive mental view of something. [See Notes, below] </w:t>
      </w:r>
    </w:p>
    <w:p w14:paraId="33750AC3" w14:textId="77777777" w:rsidR="00076776" w:rsidRDefault="00000000">
      <w:r>
        <w:t xml:space="preserve">180 </w:t>
      </w:r>
      <w:r>
        <w:rPr>
          <w:b/>
          <w:highlight w:val="green"/>
        </w:rPr>
        <w:t>geographical violence</w:t>
      </w:r>
      <w:r>
        <w:t xml:space="preserve">: These modes of vision, inquiry, and argument were not simply practical means of connecting the incident at Nootka Sound to a broader set of issues, or of distilling the details and implications of the dispute into a manageable set of claims. They were also ways of constructing the Pacific, and reconstructing the contact process, from imperial perspectives. Politicians and diplomats viewed the Pacific as a set of geographical co-ordinates and trade statistics that revealed the boundaries of European knowledge and the pulse of European capital. </w:t>
      </w:r>
      <w:r>
        <w:rPr>
          <w:highlight w:val="magenta"/>
        </w:rPr>
        <w:t>Edward Said</w:t>
      </w:r>
      <w:r>
        <w:t xml:space="preserve"> has called such representational practices acts of “geographical violence,” ways of seizing and devouring space from a distance. Britain and Spain were objectifying the Pacific as a space to be delineated and carved up.</w:t>
      </w:r>
    </w:p>
    <w:p w14:paraId="2C2A9CA1" w14:textId="77777777" w:rsidR="00076776" w:rsidRDefault="00000000">
      <w:r>
        <w:t xml:space="preserve">180 </w:t>
      </w:r>
      <w:r>
        <w:rPr>
          <w:b/>
          <w:highlight w:val="green"/>
        </w:rPr>
        <w:t>universal knowledge</w:t>
      </w:r>
      <w:r>
        <w:t>: … the international project of “universal” knowledge—the attempt to picture the world as a systematic totality, to arrange it as an object of intellectual inquiry, to collate the way it had been encountered, and to classify its diversity, richness, and potential. [181] Brewer argues that these projects of “universal knowledge” made knowledge useful to the individual and the state and were thus experiments in how to turn knowledge into power. … knowledge into power. … departments, information agencies, and lobby groups… These systems of data and compendia of “useful knowledge” were important to politicians and the public “as constructs, ways of ordering knowledge,” and ways of “bring[</w:t>
      </w:r>
      <w:proofErr w:type="spellStart"/>
      <w:r>
        <w:t>ing</w:t>
      </w:r>
      <w:proofErr w:type="spellEnd"/>
      <w:r>
        <w:t>] the world to order.”</w:t>
      </w:r>
      <w:r>
        <w:rPr>
          <w:vertAlign w:val="superscript"/>
        </w:rPr>
        <w:t>85</w:t>
      </w:r>
    </w:p>
    <w:p w14:paraId="79C79265" w14:textId="77777777" w:rsidR="00076776" w:rsidRDefault="00000000">
      <w:r>
        <w:t xml:space="preserve">181 </w:t>
      </w:r>
      <w:r>
        <w:rPr>
          <w:b/>
        </w:rPr>
        <w:t>useful knowledge</w:t>
      </w:r>
      <w:r>
        <w:t xml:space="preserve">: The expansion of Britain’s state apparatus during the eighteenth century was bolstered by the development of a new form of knowledge - what Brewer terms “useful knowledge”: bodies of descriptive and statistical information about the regions of the world, European affairs, domestic and international trade, government revenue and expenditure, social conditions, and so forth. </w:t>
      </w:r>
    </w:p>
    <w:p w14:paraId="78481896" w14:textId="77777777" w:rsidR="00076776" w:rsidRDefault="00000000">
      <w:r>
        <w:rPr>
          <w:highlight w:val="green"/>
        </w:rPr>
        <w:t xml:space="preserve">182 </w:t>
      </w:r>
      <w:r>
        <w:rPr>
          <w:b/>
          <w:highlight w:val="green"/>
        </w:rPr>
        <w:t>cycle of accumulation</w:t>
      </w:r>
      <w:r>
        <w:t xml:space="preserve">: @Diss@FFessay </w:t>
      </w:r>
      <w:r>
        <w:rPr>
          <w:highlight w:val="magenta"/>
        </w:rPr>
        <w:t>David Philip Miller</w:t>
      </w:r>
      <w:r>
        <w:t xml:space="preserve"> explores these issues in a more general vein, drawing on the work of </w:t>
      </w:r>
      <w:r>
        <w:rPr>
          <w:highlight w:val="magenta"/>
        </w:rPr>
        <w:t>Bruno Latour</w:t>
      </w:r>
      <w:r>
        <w:t>: “If voyages of exploration could dispatch or bring back to Europe measurements of latitude and longitude; charts of coastlines, harbors and seaways; collections of flora and fauna; depictions of people; and accounts of their languages, then future emissaries could deal from a position of strength with the places and peoples encountered on subsequent occasions. What Latour calls a ‘cycle of accumulation’ is set up, in which useful knowledge is accumulated at the ‘center,’ each new voyage both drawing on that stock of knowledge and contributing to it.”90</w:t>
      </w:r>
    </w:p>
    <w:p w14:paraId="00E421EA" w14:textId="77777777" w:rsidR="00076776" w:rsidRDefault="00000000">
      <w:r>
        <w:t xml:space="preserve">234 </w:t>
      </w:r>
      <w:r>
        <w:rPr>
          <w:b/>
        </w:rPr>
        <w:t xml:space="preserve">anticipatory </w:t>
      </w:r>
      <w:proofErr w:type="gramStart"/>
      <w:r>
        <w:rPr>
          <w:b/>
        </w:rPr>
        <w:t>geography</w:t>
      </w:r>
      <w:proofErr w:type="gramEnd"/>
      <w:r>
        <w:t>: The cartographic and geopolitical processes of inscription I have charted were modes of appropriation that prepared the ground for colonists. They constituted what Brian Harley has called an “anticipatory geography” of colonialism.</w:t>
      </w:r>
    </w:p>
    <w:p w14:paraId="4AF5C561" w14:textId="77777777" w:rsidR="00076776" w:rsidRDefault="00076776"/>
    <w:p w14:paraId="51A1FCFF" w14:textId="77777777" w:rsidR="00076776" w:rsidRDefault="00000000">
      <w:pPr>
        <w:pStyle w:val="Heading2"/>
      </w:pPr>
      <w:r>
        <w:t>Core quotes</w:t>
      </w:r>
    </w:p>
    <w:p w14:paraId="4E739103" w14:textId="77777777" w:rsidR="00076776" w:rsidRDefault="00000000">
      <w:pPr>
        <w:pStyle w:val="Heading4"/>
      </w:pPr>
      <w:r>
        <w:t>Chapter 1: Captain Cook, the Enlightenment, and Symbolic Violence</w:t>
      </w:r>
    </w:p>
    <w:p w14:paraId="428EF9C7" w14:textId="77777777" w:rsidR="00076776" w:rsidRDefault="00076776"/>
    <w:p w14:paraId="02113165" w14:textId="77777777" w:rsidR="00076776" w:rsidRDefault="00000000">
      <w:pPr>
        <w:rPr>
          <w:highlight w:val="green"/>
        </w:rPr>
      </w:pPr>
      <w:r>
        <w:rPr>
          <w:highlight w:val="green"/>
        </w:rPr>
        <w:t>13 @Reason@Science@SettPsych@Map@Topo@FFessay</w:t>
      </w:r>
    </w:p>
    <w:p w14:paraId="68A0AAF5" w14:textId="77777777" w:rsidR="00076776" w:rsidRDefault="00000000">
      <w:r>
        <w:lastRenderedPageBreak/>
        <w:t xml:space="preserve">From Mary Louise Pratt </w:t>
      </w:r>
    </w:p>
    <w:p w14:paraId="76CB6CD8" w14:textId="77777777" w:rsidR="00076776" w:rsidRDefault="00000000">
      <w:pPr>
        <w:ind w:left="720"/>
      </w:pPr>
      <w:r>
        <w:t>Between 1750 and 1850, she argues, the mercantilist equation of wealth, power, and empire modulated into an ambitious, bourgeois political economy of representation - a European “planetary consciousness” - which was driven by practices of classification.</w:t>
      </w:r>
      <w:r>
        <w:rPr>
          <w:vertAlign w:val="superscript"/>
        </w:rPr>
        <w:t>48</w:t>
      </w:r>
      <w:r>
        <w:t xml:space="preserve">  The systematic mapping, naming, and classification of the lands, peoples, and resources of the world was geared to the search for markets and profits, and explorers conceived the world as “a chaos out of which the scientist produced an order.” … This project, she continues, modelled “the extractive, transformative character of industrial capitalism, and the ordering mechanisms that were beginning to shape urban mass society in Europe under bourgeois hegemony. As an ideological construct, it </w:t>
      </w:r>
      <w:proofErr w:type="gramStart"/>
      <w:r>
        <w:t>makes</w:t>
      </w:r>
      <w:proofErr w:type="gramEnd"/>
      <w:r>
        <w:t xml:space="preserve"> a picture of the planet appropriated and deployed from a unified, European perspective.”</w:t>
      </w:r>
      <w:r>
        <w:rPr>
          <w:vertAlign w:val="superscript"/>
        </w:rPr>
        <w:t>49</w:t>
      </w:r>
    </w:p>
    <w:p w14:paraId="751B8444" w14:textId="77777777" w:rsidR="00076776" w:rsidRDefault="00076776">
      <w:pPr>
        <w:rPr>
          <w:vertAlign w:val="superscript"/>
        </w:rPr>
      </w:pPr>
    </w:p>
    <w:p w14:paraId="3BAE10D3" w14:textId="77777777" w:rsidR="00076776" w:rsidRDefault="00000000">
      <w:r>
        <w:t>14 @ManDest@@CogImp@Dual@FFessay@UL</w:t>
      </w:r>
    </w:p>
    <w:p w14:paraId="1FC84CB1" w14:textId="77777777" w:rsidR="00076776" w:rsidRDefault="00000000">
      <w:r>
        <w:rPr>
          <w:highlight w:val="magenta"/>
        </w:rPr>
        <w:t>Deborah Bird Rose</w:t>
      </w:r>
      <w:r>
        <w:t xml:space="preserve"> quote on the incapacities in settler mediation: </w:t>
      </w:r>
    </w:p>
    <w:p w14:paraId="6232D434" w14:textId="77777777" w:rsidR="00076776" w:rsidRDefault="00000000">
      <w:pPr>
        <w:ind w:left="720"/>
      </w:pPr>
      <w:r>
        <w:t>“</w:t>
      </w:r>
      <w:r>
        <w:rPr>
          <w:b/>
        </w:rPr>
        <w:t>The apotheosis of Cook</w:t>
      </w:r>
      <w:r>
        <w:t xml:space="preserve"> can be seen as a symptom of a more encompassing disorder,” she argues: “that </w:t>
      </w:r>
      <w:r>
        <w:rPr>
          <w:b/>
        </w:rPr>
        <w:t>European conquest culture</w:t>
      </w:r>
      <w:r>
        <w:t xml:space="preserve"> is not attuned to bridging </w:t>
      </w:r>
      <w:r>
        <w:rPr>
          <w:b/>
        </w:rPr>
        <w:t>intersubjective space</w:t>
      </w:r>
      <w:r>
        <w:t>, but only to dominating it.”</w:t>
      </w:r>
      <w:r>
        <w:rPr>
          <w:vertAlign w:val="superscript"/>
        </w:rPr>
        <w:t>58</w:t>
      </w:r>
      <w:r>
        <w:t xml:space="preserve"> She suggests that while </w:t>
      </w:r>
      <w:proofErr w:type="spellStart"/>
      <w:r>
        <w:t>Obeyesekere’s</w:t>
      </w:r>
      <w:proofErr w:type="spellEnd"/>
      <w:r>
        <w:t xml:space="preserve"> interpretation of Cook’s death may not be entirely cogent, his broader project of exposing European myth making is important, for “in making myths about his encounters with indigenous peoples, we tell ourselves stories about relationships between ourselves and others which conceal the violence inherent in our lives.”</w:t>
      </w:r>
      <w:r>
        <w:rPr>
          <w:vertAlign w:val="superscript"/>
        </w:rPr>
        <w:t>59</w:t>
      </w:r>
    </w:p>
    <w:p w14:paraId="5303A7AE" w14:textId="77777777" w:rsidR="00076776" w:rsidRDefault="00076776"/>
    <w:p w14:paraId="4E44A16A" w14:textId="77777777" w:rsidR="00076776" w:rsidRDefault="00000000">
      <w:r>
        <w:t>15 @SpacePlace@SettPsych</w:t>
      </w:r>
    </w:p>
    <w:p w14:paraId="39F14C3B" w14:textId="77777777" w:rsidR="00076776" w:rsidRDefault="00000000">
      <w:pPr>
        <w:ind w:left="720"/>
      </w:pPr>
      <w:r>
        <w:t>Space cannot be construed as an independent variable in the formation of eighteenth-century European doctrines about the Other, in methods of contact, or in the representational practices of explorers such as Cook. The imagination and production of non-European space, I will suggest, was central to the design, execution, and record of Cook’s voyages.</w:t>
      </w:r>
    </w:p>
    <w:p w14:paraId="79063C69" w14:textId="77777777" w:rsidR="00076776" w:rsidRDefault="00076776"/>
    <w:p w14:paraId="7F488532" w14:textId="77777777" w:rsidR="00076776" w:rsidRDefault="00000000">
      <w:pPr>
        <w:pStyle w:val="Heading4"/>
      </w:pPr>
      <w:r>
        <w:t>Chapter 10: The Ledger, The Map, and British Imperial Vision</w:t>
      </w:r>
    </w:p>
    <w:p w14:paraId="1C2AD583" w14:textId="77777777" w:rsidR="00076776" w:rsidRDefault="00000000">
      <w:r>
        <w:t>178 @Map@Col@DoD@FFessay@Diss?</w:t>
      </w:r>
    </w:p>
    <w:p w14:paraId="324DD04B" w14:textId="77777777" w:rsidR="00076776" w:rsidRDefault="00000000">
      <w:pPr>
        <w:ind w:left="720"/>
      </w:pPr>
      <w:r>
        <w:t xml:space="preserve">During the Nootka Crisis, Pitt and his colleagues turned to Aaron Arrowsmith’s </w:t>
      </w:r>
      <w:r>
        <w:rPr>
          <w:i/>
        </w:rPr>
        <w:t xml:space="preserve">Chart of the World on Mercator’s Projection </w:t>
      </w:r>
      <w:r>
        <w:t xml:space="preserve">(published in January 1790, which collated European discoveries in the Pacific up to 1780) </w:t>
      </w:r>
      <w:proofErr w:type="gramStart"/>
      <w:r>
        <w:t>in order to</w:t>
      </w:r>
      <w:proofErr w:type="gramEnd"/>
      <w:r>
        <w:t xml:space="preserve"> chart the activities of British traders and to assess Spain’s territorial claims. … They viewed Nootka Sound through the lexicons of the ledger and the map. </w:t>
      </w:r>
    </w:p>
    <w:p w14:paraId="6E3C8E95" w14:textId="77777777" w:rsidR="00076776" w:rsidRDefault="00076776"/>
    <w:p w14:paraId="2436D2F5" w14:textId="77777777" w:rsidR="00076776" w:rsidRDefault="00000000">
      <w:pPr>
        <w:rPr>
          <w:highlight w:val="green"/>
        </w:rPr>
      </w:pPr>
      <w:r>
        <w:rPr>
          <w:highlight w:val="green"/>
        </w:rPr>
        <w:t>179 @Map@Power@DoD@ManDest@</w:t>
      </w:r>
      <w:proofErr w:type="gramStart"/>
      <w:r>
        <w:rPr>
          <w:highlight w:val="green"/>
        </w:rPr>
        <w:t>L?@</w:t>
      </w:r>
      <w:proofErr w:type="gramEnd"/>
      <w:r>
        <w:rPr>
          <w:highlight w:val="green"/>
        </w:rPr>
        <w:t>CogImp@FFEssay@Diss</w:t>
      </w:r>
    </w:p>
    <w:p w14:paraId="6647B8F9" w14:textId="77777777" w:rsidR="00076776" w:rsidRDefault="00000000">
      <w:pPr>
        <w:ind w:left="720"/>
      </w:pPr>
      <w:r>
        <w:rPr>
          <w:highlight w:val="magenta"/>
        </w:rPr>
        <w:t>Alexander Dalrymple</w:t>
      </w:r>
      <w:r>
        <w:t xml:space="preserve"> (hydrographer to the East India Company and then the Admiralty)</w:t>
      </w:r>
    </w:p>
    <w:p w14:paraId="68901C98" w14:textId="77777777" w:rsidR="00076776" w:rsidRDefault="00000000">
      <w:pPr>
        <w:ind w:left="720"/>
      </w:pPr>
      <w:r>
        <w:t xml:space="preserve">… one of the principal custodians of geographical knowledge about North America and the Pacific. He supplied Leeds with maps, compendia of information about Spanish America, and two pamphlets that he published about the dispute in May and June 1790. [pamphlet] “In Disputes </w:t>
      </w:r>
      <w:proofErr w:type="spellStart"/>
      <w:r>
        <w:t>Concering</w:t>
      </w:r>
      <w:proofErr w:type="spellEnd"/>
      <w:r>
        <w:t xml:space="preserve"> Geographical Limits,” Dalrymple argued in one pamphlet (aiming, perhaps, to draw attention to his own geographical expertise), “The Proper Authorities to consult are </w:t>
      </w:r>
      <w:r>
        <w:rPr>
          <w:i/>
        </w:rPr>
        <w:t xml:space="preserve">Geographers’, </w:t>
      </w:r>
      <w:r>
        <w:t xml:space="preserve">for </w:t>
      </w:r>
      <w:r>
        <w:rPr>
          <w:highlight w:val="green"/>
        </w:rPr>
        <w:t xml:space="preserve">although a </w:t>
      </w:r>
      <w:r>
        <w:rPr>
          <w:i/>
          <w:highlight w:val="green"/>
        </w:rPr>
        <w:t xml:space="preserve">Map </w:t>
      </w:r>
      <w:r>
        <w:rPr>
          <w:highlight w:val="green"/>
        </w:rPr>
        <w:t xml:space="preserve">may not be considered as </w:t>
      </w:r>
      <w:r>
        <w:rPr>
          <w:i/>
          <w:highlight w:val="green"/>
        </w:rPr>
        <w:t xml:space="preserve">conclusive, </w:t>
      </w:r>
      <w:r>
        <w:rPr>
          <w:highlight w:val="green"/>
        </w:rPr>
        <w:t xml:space="preserve">it must be admitted as </w:t>
      </w:r>
      <w:r>
        <w:rPr>
          <w:i/>
          <w:highlight w:val="green"/>
        </w:rPr>
        <w:t xml:space="preserve">presumptive, testimony </w:t>
      </w:r>
      <w:r>
        <w:rPr>
          <w:highlight w:val="green"/>
        </w:rPr>
        <w:t xml:space="preserve">of a </w:t>
      </w:r>
      <w:r>
        <w:rPr>
          <w:i/>
          <w:highlight w:val="green"/>
        </w:rPr>
        <w:t>fact!</w:t>
      </w:r>
      <w:r>
        <w:rPr>
          <w:i/>
        </w:rPr>
        <w:t>’</w:t>
      </w:r>
      <w:r>
        <w:rPr>
          <w:vertAlign w:val="superscript"/>
        </w:rPr>
        <w:t>72</w:t>
      </w:r>
    </w:p>
    <w:p w14:paraId="7BA5E1E2" w14:textId="77777777" w:rsidR="00076776" w:rsidRDefault="00000000">
      <w:r>
        <w:lastRenderedPageBreak/>
        <w:t xml:space="preserve">Source: Dalrymple, </w:t>
      </w:r>
      <w:r>
        <w:rPr>
          <w:i/>
        </w:rPr>
        <w:t xml:space="preserve">The Spanish pretensions fairly discussed, </w:t>
      </w:r>
      <w:r>
        <w:t>(London: George Bigg, 1790), 8.</w:t>
      </w:r>
    </w:p>
    <w:p w14:paraId="25D7A62C" w14:textId="77777777" w:rsidR="00076776" w:rsidRDefault="00076776"/>
    <w:p w14:paraId="5D0E9E41" w14:textId="77777777" w:rsidR="00076776" w:rsidRDefault="00000000">
      <w:r>
        <w:t>180 @Map@Reason@DoD@Pow@Science</w:t>
      </w:r>
    </w:p>
    <w:p w14:paraId="14DA0D44" w14:textId="77777777" w:rsidR="00076776" w:rsidRDefault="00000000">
      <w:r>
        <w:t xml:space="preserve">As regards the objective and dissected sense of space in the Pacific between the British and Spanish: </w:t>
      </w:r>
    </w:p>
    <w:p w14:paraId="0C3BA187" w14:textId="77777777" w:rsidR="00076776" w:rsidRDefault="00000000">
      <w:pPr>
        <w:ind w:left="720"/>
      </w:pPr>
      <w:r>
        <w:t xml:space="preserve">These ways of constructing the Pacific were mediated by the rationalist currents of eighteenth-century thought. Texts such as Dalrymple’s </w:t>
      </w:r>
      <w:r>
        <w:rPr>
          <w:i/>
        </w:rPr>
        <w:t xml:space="preserve">Historical Collection of Voyages, </w:t>
      </w:r>
      <w:r>
        <w:t xml:space="preserve">Malachy </w:t>
      </w:r>
      <w:proofErr w:type="spellStart"/>
      <w:r>
        <w:t>Postlethwayt’s</w:t>
      </w:r>
      <w:proofErr w:type="spellEnd"/>
      <w:r>
        <w:t xml:space="preserve"> </w:t>
      </w:r>
      <w:r>
        <w:rPr>
          <w:i/>
        </w:rPr>
        <w:t xml:space="preserve">Universal Dictionary of Trade and Commerce, </w:t>
      </w:r>
      <w:r>
        <w:t xml:space="preserve">and Arrowsmith’s </w:t>
      </w:r>
      <w:r>
        <w:rPr>
          <w:i/>
        </w:rPr>
        <w:t xml:space="preserve">Chart </w:t>
      </w:r>
      <w:r>
        <w:t xml:space="preserve">belong to </w:t>
      </w:r>
      <w:r>
        <w:rPr>
          <w:b/>
        </w:rPr>
        <w:t>the international project of “universal” knowledge</w:t>
      </w:r>
      <w:r>
        <w:t xml:space="preserve"> - the attempt to picture the world as a systematic totality, to arrange it as an object of intellectual inquiry, to collate the way it had been encountered, and to classify its diversity, richness, and potential.</w:t>
      </w:r>
      <w:r>
        <w:rPr>
          <w:vertAlign w:val="superscript"/>
        </w:rPr>
        <w:t>79</w:t>
      </w:r>
      <w:r>
        <w:t xml:space="preserve"> Such texts organized the world into useful patterns that could be used for a variety of ends. [181] The knowledge derived from Meares and Dalrymple allowed the Cabinet to think in terms of “</w:t>
      </w:r>
      <w:proofErr w:type="spellStart"/>
      <w:r>
        <w:t>systematick</w:t>
      </w:r>
      <w:proofErr w:type="spellEnd"/>
      <w:r>
        <w:t xml:space="preserve"> schemes” and “lines of circumvallation,” as Burke put it. The ledger and the map were the technical matrices through which Britain ordered the Pacific as a commercial arena and a space of European sovereignty.</w:t>
      </w:r>
    </w:p>
    <w:p w14:paraId="66B077E1" w14:textId="77777777" w:rsidR="00076776" w:rsidRDefault="00076776">
      <w:pPr>
        <w:ind w:left="720"/>
      </w:pPr>
    </w:p>
    <w:p w14:paraId="1AF3E9A7" w14:textId="77777777" w:rsidR="00076776" w:rsidRDefault="00000000">
      <w:pPr>
        <w:ind w:left="720"/>
      </w:pPr>
      <w:r>
        <w:t xml:space="preserve">[182] @Arg By extension, my argument that the Northwest Coast was brought to order through </w:t>
      </w:r>
      <w:r>
        <w:rPr>
          <w:b/>
        </w:rPr>
        <w:t>the political rationalization of cartographic and commercial information</w:t>
      </w:r>
      <w:r>
        <w:t xml:space="preserve"> should not be viewed simply as a discursive counterpoint to my discussion of the contact process. </w:t>
      </w:r>
      <w:r>
        <w:rPr>
          <w:b/>
        </w:rPr>
        <w:t>For the ledger and the map were also tools of power</w:t>
      </w:r>
      <w:r>
        <w:t xml:space="preserve">. The British used them to </w:t>
      </w:r>
      <w:r>
        <w:rPr>
          <w:i/>
        </w:rPr>
        <w:t xml:space="preserve">assert </w:t>
      </w:r>
      <w:r>
        <w:t xml:space="preserve">themselves in the world (to establish the Pacific as a field of possession and intervention) and to </w:t>
      </w:r>
      <w:r>
        <w:rPr>
          <w:i/>
        </w:rPr>
        <w:t xml:space="preserve">insert </w:t>
      </w:r>
      <w:r>
        <w:t xml:space="preserve">the Northwest Coast into European rationalist discourse (a view of the world, as </w:t>
      </w:r>
      <w:r>
        <w:rPr>
          <w:highlight w:val="magenta"/>
        </w:rPr>
        <w:t>Sudipta Kiviraj</w:t>
      </w:r>
      <w:r>
        <w:t xml:space="preserve"> has pointed out, that “is clear, precise, instrumentalist, technical, scientific, effective, true and above all [deemed] beneficial to all who came in contact with it, both the rulers and the subjects).</w:t>
      </w:r>
      <w:r>
        <w:rPr>
          <w:vertAlign w:val="superscript"/>
        </w:rPr>
        <w:t>88</w:t>
      </w:r>
    </w:p>
    <w:p w14:paraId="1A576943" w14:textId="77777777" w:rsidR="00076776" w:rsidRDefault="00076776"/>
    <w:p w14:paraId="266DEEA8" w14:textId="77777777" w:rsidR="00076776" w:rsidRDefault="00000000">
      <w:r>
        <w:t>189 @Map@Pow@Capital</w:t>
      </w:r>
    </w:p>
    <w:p w14:paraId="6269692A" w14:textId="77777777" w:rsidR="00076776" w:rsidRDefault="00000000">
      <w:pPr>
        <w:ind w:left="720"/>
      </w:pPr>
      <w:r>
        <w:rPr>
          <w:b/>
        </w:rPr>
        <w:t>There was nothing inevitable about this transition from commerce to imperialism, or the modulation of imperial sovereignty into colonial rule.</w:t>
      </w:r>
      <w:r>
        <w:t xml:space="preserve"> It is upon the production of an imperial context within which Vancouver Island, the Northwest Coast, and the Pacific could be re-imagined and dealt with from afar that we should focus on. The Nootka Crisis set up and clarified a process of abstraction that was initially hinted at by Cook—not Cook the </w:t>
      </w:r>
      <w:proofErr w:type="gramStart"/>
      <w:r>
        <w:t>writer, but</w:t>
      </w:r>
      <w:proofErr w:type="gramEnd"/>
      <w:r>
        <w:t xml:space="preserve"> </w:t>
      </w:r>
      <w:r>
        <w:rPr>
          <w:b/>
        </w:rPr>
        <w:t>Cook the cartographer</w:t>
      </w:r>
      <w:r>
        <w:t xml:space="preserve">. His scanty map of the coast imposed a cartographic order on the coast that was at odds with the fluidities of contact. </w:t>
      </w:r>
      <w:r>
        <w:rPr>
          <w:b/>
        </w:rPr>
        <w:t xml:space="preserve">This and other maps fuelled an imperial imagination that ran with rarefied images of regions like the Northwest Coast and operated with </w:t>
      </w:r>
      <w:proofErr w:type="gramStart"/>
      <w:r>
        <w:rPr>
          <w:b/>
        </w:rPr>
        <w:t>particular brands</w:t>
      </w:r>
      <w:proofErr w:type="gramEnd"/>
      <w:r>
        <w:rPr>
          <w:b/>
        </w:rPr>
        <w:t xml:space="preserve"> of knowledge.</w:t>
      </w:r>
      <w:r>
        <w:t xml:space="preserve"> Soon after the Nootka Crisis, George Vancouver was sent to the coast to fill in Cook’s map.</w:t>
      </w:r>
    </w:p>
    <w:p w14:paraId="00F44AB3" w14:textId="77777777" w:rsidR="00076776" w:rsidRDefault="00076776">
      <w:pPr>
        <w:rPr>
          <w:b/>
        </w:rPr>
      </w:pPr>
    </w:p>
    <w:p w14:paraId="36E271B8" w14:textId="77777777" w:rsidR="00076776" w:rsidRDefault="00000000">
      <w:pPr>
        <w:pStyle w:val="Heading4"/>
      </w:pPr>
      <w:r>
        <w:t>Conclusion: The Loss of Locality</w:t>
      </w:r>
    </w:p>
    <w:p w14:paraId="28317EA2" w14:textId="77777777" w:rsidR="00076776" w:rsidRDefault="00000000">
      <w:r>
        <w:t>236 @</w:t>
      </w:r>
      <w:proofErr w:type="gramStart"/>
      <w:r>
        <w:t>L?@</w:t>
      </w:r>
      <w:proofErr w:type="gramEnd"/>
      <w:r>
        <w:t>ISr@Map@Reason@IKSG</w:t>
      </w:r>
    </w:p>
    <w:p w14:paraId="0DD3C32E" w14:textId="77777777" w:rsidR="00076776" w:rsidRDefault="00000000">
      <w:pPr>
        <w:ind w:left="720"/>
      </w:pPr>
      <w:r>
        <w:t xml:space="preserve">…if the colonization of Vancouver Island was fuelled by the mythology of empty land, then it was partly because of Vancouver’s cartography. The sovereign-Cartesian framework of empire that a range of Western actors fashioned between 1790 and the </w:t>
      </w:r>
      <w:r>
        <w:lastRenderedPageBreak/>
        <w:t xml:space="preserve">1840s induced visions of colonial opportunity and legitimate possession that were connected to Eurocentric constellations of knowledge and power—to constellations that absolutized, exhibited, and schematized space and time. … </w:t>
      </w:r>
      <w:r>
        <w:rPr>
          <w:b/>
        </w:rPr>
        <w:t>Vancouver Island had a specific marginality in this imperial technology of vision and representation. It was neither a prize colonial possession like India nor a keenly debated settler colony like New Zealand. It cohered in the British imperial imagination initially as a cartographic space, and the Colonial Office dealt with it through a scheme of systematic colonization.</w:t>
      </w:r>
      <w:r>
        <w:t xml:space="preserve"> Emigrants and politicians had a rarefied understanding of the northwest coast, and the slimness of their understanding was a constitutive feature of colonialism in this part of the world.</w:t>
      </w:r>
    </w:p>
    <w:p w14:paraId="0FF36347" w14:textId="77777777" w:rsidR="00076776" w:rsidRDefault="00076776">
      <w:pPr>
        <w:ind w:left="720"/>
      </w:pPr>
    </w:p>
    <w:p w14:paraId="07344AAD" w14:textId="77777777" w:rsidR="00076776" w:rsidRDefault="00000000">
      <w:pPr>
        <w:ind w:left="720"/>
      </w:pPr>
      <w:r>
        <w:rPr>
          <w:highlight w:val="yellow"/>
        </w:rPr>
        <w:t xml:space="preserve">[238] </w:t>
      </w:r>
      <w:r>
        <w:rPr>
          <w:b/>
          <w:highlight w:val="yellow"/>
        </w:rPr>
        <w:t>Native people were effectively marginalized before colonists arrived</w:t>
      </w:r>
      <w:r>
        <w:rPr>
          <w:highlight w:val="yellow"/>
        </w:rPr>
        <w:t>; if colonists felt threatened by them, then this did not rock their confidence in</w:t>
      </w:r>
    </w:p>
    <w:p w14:paraId="7C2184F1" w14:textId="77777777" w:rsidR="00076776" w:rsidRDefault="00000000">
      <w:pPr>
        <w:ind w:left="720"/>
        <w:rPr>
          <w:highlight w:val="yellow"/>
        </w:rPr>
      </w:pPr>
      <w:r>
        <w:rPr>
          <w:highlight w:val="yellow"/>
        </w:rPr>
        <w:t>the legitimacy of colonialism. // Yet the alluring simplifications of Vancouver’s cartography and assumptions of sovereignty only licensed British colonialism. They furnished a powerful yet slim and volatile context within which settlers, merchants, colonial officials, and missionaries dealt with Native peoples.</w:t>
      </w:r>
    </w:p>
    <w:p w14:paraId="2CF6174D" w14:textId="77777777" w:rsidR="00076776" w:rsidRDefault="00076776"/>
    <w:p w14:paraId="77E8A149" w14:textId="77777777" w:rsidR="00076776" w:rsidRDefault="00000000">
      <w:r>
        <w:t>240 @Arg@</w:t>
      </w:r>
      <w:proofErr w:type="gramStart"/>
      <w:r>
        <w:t>Diss?@</w:t>
      </w:r>
      <w:proofErr w:type="gramEnd"/>
      <w:r>
        <w:t>Hist</w:t>
      </w:r>
    </w:p>
    <w:p w14:paraId="32807631" w14:textId="77777777" w:rsidR="00076776" w:rsidRDefault="00000000">
      <w:r>
        <w:t xml:space="preserve">This could be used as a case to argue for a closer reading of colonial maps: </w:t>
      </w:r>
    </w:p>
    <w:p w14:paraId="0542F545" w14:textId="77777777" w:rsidR="00076776" w:rsidRDefault="00000000">
      <w:pPr>
        <w:ind w:left="720"/>
      </w:pPr>
      <w:r>
        <w:rPr>
          <w:i/>
        </w:rPr>
        <w:t xml:space="preserve">If Islands of Truth </w:t>
      </w:r>
      <w:r>
        <w:t xml:space="preserve">has wider implications for the analysis of colonialism, then I should think that they fall into two categories. First, one of the main ideas in this book is that distance is both an enabling and a constraining variable in power/knowledge relationships at both an imaginative and material level. … </w:t>
      </w:r>
      <w:proofErr w:type="gramStart"/>
      <w:r>
        <w:t>So,</w:t>
      </w:r>
      <w:proofErr w:type="gramEnd"/>
      <w:r>
        <w:t xml:space="preserve"> second, I have been writing Vancouver Island into the international literature on colonialism. </w:t>
      </w:r>
      <w:r>
        <w:rPr>
          <w:b/>
        </w:rPr>
        <w:t>I have suggested that scholarship on early British Columbia has suffered from a lack of theoretical inquisitiveness, especially about the geographical conditioning of knowledge and power.</w:t>
      </w:r>
      <w:r>
        <w:t xml:space="preserve"> Neither the archives nor longer-term questions of land and colonialism can be explored fully without these ideas about discourse and power.</w:t>
      </w:r>
    </w:p>
    <w:p w14:paraId="74C805C5" w14:textId="77777777" w:rsidR="00076776" w:rsidRDefault="00076776"/>
    <w:p w14:paraId="38924F20" w14:textId="77777777" w:rsidR="00076776" w:rsidRDefault="00000000">
      <w:pPr>
        <w:pStyle w:val="Heading4"/>
      </w:pPr>
      <w:bookmarkStart w:id="46" w:name="_heading=h.3tbugp1" w:colFirst="0" w:colLast="0"/>
      <w:bookmarkEnd w:id="46"/>
      <w:r>
        <w:t>Random quotes</w:t>
      </w:r>
    </w:p>
    <w:p w14:paraId="5FF26281" w14:textId="77777777" w:rsidR="00076776" w:rsidRDefault="00000000">
      <w:r>
        <w:t xml:space="preserve">This book is so pertinent to my work that I may have to break my own rules and add more content, based on some search terms: cartography, map, toponym, place name. </w:t>
      </w:r>
    </w:p>
    <w:p w14:paraId="70B9CD92" w14:textId="77777777" w:rsidR="00076776" w:rsidRDefault="00076776"/>
    <w:p w14:paraId="23104AA9" w14:textId="77777777" w:rsidR="00076776" w:rsidRDefault="00000000">
      <w:pPr>
        <w:pStyle w:val="Heading2"/>
      </w:pPr>
      <w:r>
        <w:t>Secondary quotes</w:t>
      </w:r>
    </w:p>
    <w:p w14:paraId="430CE92C" w14:textId="77777777" w:rsidR="0007677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7 </w:t>
      </w:r>
      <w:r>
        <w:rPr>
          <w:b/>
        </w:rPr>
        <w:t>Cook’s official Admiralty orders</w:t>
      </w:r>
      <w:r>
        <w:t xml:space="preserve">: observe the Genius, Temper, Disposition, and Number of the Natives and Inhabit- ants, where you find any; and to endeavour, by all proper means to cultivate a friend- ship with them; making them Presents of such Trinkets as you may have on board, and they may like best; inviting them to Traffick; and shewing them every kind of Civility and Regard; but taking care nevertheless not to suffer yourself to be surprised by them, but to be always on your guard against any Accidents. / 8 @SettPsych </w:t>
      </w:r>
      <w:r>
        <w:rPr>
          <w:highlight w:val="magenta"/>
        </w:rPr>
        <w:t>Adam Smith</w:t>
      </w:r>
      <w:r>
        <w:t>, for instance, held that societies naturally progress over time through four distinct, consecutive modes of subsistence (hunting, pasturage, agriculture, and commerce), with different sets of ideas and institutions defining each - roughly labelled savage, barbarian, and civilized. / 15 @OralEx@</w:t>
      </w:r>
      <w:proofErr w:type="gramStart"/>
      <w:r>
        <w:t>Link:</w:t>
      </w:r>
      <w:r>
        <w:rPr>
          <w:highlight w:val="magenta"/>
        </w:rPr>
        <w:t>Carter</w:t>
      </w:r>
      <w:proofErr w:type="gramEnd"/>
      <w:r>
        <w:t xml:space="preserve"> Carter is interested in explorers’ experiential dialogue with their surroundings - their </w:t>
      </w:r>
      <w:r>
        <w:rPr>
          <w:i/>
        </w:rPr>
        <w:t xml:space="preserve">geography, </w:t>
      </w:r>
      <w:r>
        <w:t xml:space="preserve">or “writing of lands.” In his book </w:t>
      </w:r>
      <w:r>
        <w:rPr>
          <w:b/>
          <w:i/>
        </w:rPr>
        <w:t>The Road to Botany Bay</w:t>
      </w:r>
      <w:r>
        <w:rPr>
          <w:i/>
        </w:rPr>
        <w:t xml:space="preserve"> </w:t>
      </w:r>
      <w:r>
        <w:t xml:space="preserve">(1987), he shows how Cook brought </w:t>
      </w:r>
      <w:r>
        <w:lastRenderedPageBreak/>
        <w:t xml:space="preserve">the Australian coast under his </w:t>
      </w:r>
      <w:r>
        <w:rPr>
          <w:b/>
        </w:rPr>
        <w:t>intentional gaze</w:t>
      </w:r>
      <w:r>
        <w:t xml:space="preserve">, and into his own intimate world of travel, using an elaborate, mischievous naming practice. He names Cook the founder of a “nomadic discourse” of “spatial history.” / 168 In January 1790, the British Cabinet learned from Britain’s charge d’affaires in Madrid, </w:t>
      </w:r>
      <w:r>
        <w:rPr>
          <w:highlight w:val="magenta"/>
        </w:rPr>
        <w:t>Anthony Merry</w:t>
      </w:r>
      <w:r>
        <w:t xml:space="preserve">, that a Spanish military officer, </w:t>
      </w:r>
      <w:r>
        <w:rPr>
          <w:b/>
        </w:rPr>
        <w:t>Estevan Martinez, had seized a British vessel at Nootka Sound as a legal prize</w:t>
      </w:r>
      <w:r>
        <w:t xml:space="preserve">. … / 171 @DoD </w:t>
      </w:r>
      <w:proofErr w:type="gramStart"/>
      <w:r>
        <w:t>For</w:t>
      </w:r>
      <w:proofErr w:type="gramEnd"/>
      <w:r>
        <w:t xml:space="preserve"> at the core of Britain’s understanding of the Law of Nations was the formulation that “Discovery alone, not followed by Actual Occupation and Establishment, can never be admitted as giving any Right to the Exclusion of Other Nations,” as Leeds expressed it. / 173 </w:t>
      </w:r>
      <w:r>
        <w:rPr>
          <w:b/>
        </w:rPr>
        <w:t>The Nootka Crisis</w:t>
      </w:r>
      <w:r>
        <w:t xml:space="preserve"> dragged on through the summer of 1790, generating a flurry of diplomatic activity in Europe, and Britain spent over £2 million on its military preparations. … the Nootka Convention / 173 @Arg Nootka Sound was roped into European geopolitics, and this crisis reoriented Britain’s engagement with the Northwest Coast. / 179 Info on Alexander Dalrymple (hydrographer to the East India Company and then the Admiralty) / @SettPsych “Colonial knowledge both enabled conquest and was produced by it,” </w:t>
      </w:r>
      <w:r>
        <w:rPr>
          <w:highlight w:val="magenta"/>
        </w:rPr>
        <w:t>Dirks</w:t>
      </w:r>
      <w:r>
        <w:t xml:space="preserve"> argues. “In certain important ways, knowledge was what colonialism was all about. Cultural forms in societies newly classified as traditional’ were reconstructed and transformed by and through this knowledge, which created new categories and oppositions between colonizers and colonized, Europe and Asia, modern and traditional, West and East.”86 / 182 The </w:t>
      </w:r>
      <w:r>
        <w:rPr>
          <w:b/>
        </w:rPr>
        <w:t>Nootka Crisis laid some of the groundwork for the colonial disposal of land to British settlers</w:t>
      </w:r>
      <w:r>
        <w:t xml:space="preserve"> in the second half of the nineteenth century in that it ushered in European ideas about imperial possession and private property. In the colonial period, these ideas were deemed to be the backbone of an orderly colonial society. / 180+ Spain Vs. Britain’s flavor of @DoD / 235 @OralEx </w:t>
      </w:r>
      <w:proofErr w:type="gramStart"/>
      <w:r>
        <w:t>As</w:t>
      </w:r>
      <w:proofErr w:type="gramEnd"/>
      <w:r>
        <w:t xml:space="preserve"> </w:t>
      </w:r>
      <w:r>
        <w:rPr>
          <w:highlight w:val="magenta"/>
        </w:rPr>
        <w:t>Edward Said</w:t>
      </w:r>
      <w:r>
        <w:t xml:space="preserve"> formulates the geographical relationship between imperial practices and colonial rule: “For the native the history of colonial servitude is inaugurated by loss of the locality to the outsider; its geographical identity must thereafter be searched for and somehow restored ... If there is anything that radically distinguishes the imagination of anti-imperialism, it is the primacy of </w:t>
      </w:r>
      <w:r>
        <w:rPr>
          <w:b/>
        </w:rPr>
        <w:t>the geographical element</w:t>
      </w:r>
      <w:r>
        <w:t>.”</w:t>
      </w:r>
      <w:r>
        <w:rPr>
          <w:vertAlign w:val="superscript"/>
        </w:rPr>
        <w:t>3</w:t>
      </w:r>
      <w:r>
        <w:t xml:space="preserve"> Native struggle against the course and legacies of colonialism is not mediated solely by the physical experience and memory of colonization. Native struggles in British Columbia cannot be fully appreciated unless this late eighteenth-century era of European imperial aggrandizement is explored. / </w:t>
      </w:r>
      <w:r>
        <w:rPr>
          <w:b/>
        </w:rPr>
        <w:t>Vancouver Island</w:t>
      </w:r>
      <w:r>
        <w:t xml:space="preserve"> became a labyrinth of hopes and memories: a place of colonial romance and a site of imperial nostalgia. It was perceived as a shell awaiting development - a waste land applicable to systematic colonization —and it juxtaposed American and British imperial philosophies (annexation versus free trade; continental nation-building versus global imperial affiliation). / 236 </w:t>
      </w:r>
      <w:r>
        <w:rPr>
          <w:highlight w:val="magenta"/>
        </w:rPr>
        <w:t>Spivak</w:t>
      </w:r>
      <w:r>
        <w:t xml:space="preserve">: … land and identity by theorists of colonialism who have persuasively argued that metropolitan-colonial relationships were produced and sustained by </w:t>
      </w:r>
      <w:r>
        <w:rPr>
          <w:b/>
        </w:rPr>
        <w:t>Western “imaginative geographies”</w:t>
      </w:r>
      <w:r>
        <w:t xml:space="preserve"> of other lands and peoples. Such geographies were both vague and detailed. They revolved around general cultural assumptions and fantasies about the non-Western world and more exact bodies of knowledge that stemmed from a close engagement with distant peoples and places. This mixture of fantasy and detail was organized in Eurocentric grids of cultural power. [@FFessay] </w:t>
      </w:r>
      <w:r>
        <w:rPr>
          <w:b/>
        </w:rPr>
        <w:t>As Gayatri Chakravorty Spivak argues, cultural apparatuses of imperialism disciplined the world in epistemological terms, overhauling, ruling out, burying, or denigrating other ways of knowing, and thus sanctioning ignorance</w:t>
      </w:r>
      <w:r>
        <w:t>.</w:t>
      </w:r>
      <w:r>
        <w:rPr>
          <w:vertAlign w:val="superscript"/>
        </w:rPr>
        <w:t xml:space="preserve">4 </w:t>
      </w:r>
      <w:r>
        <w:t xml:space="preserve">// The imperial fashioning of Vancouver Island involved a mixture of discipline and sanctioned ignorance, and it combined metropolitan forces and local de- tails. </w:t>
      </w:r>
      <w:r>
        <w:rPr>
          <w:b/>
        </w:rPr>
        <w:t>Native space was reproduced as an absolute space of British sovereignty</w:t>
      </w:r>
      <w:r>
        <w:t xml:space="preserve">. </w:t>
      </w:r>
    </w:p>
    <w:p w14:paraId="615A042A" w14:textId="77777777" w:rsidR="00076776" w:rsidRDefault="00076776"/>
    <w:p w14:paraId="555EAE86" w14:textId="77777777" w:rsidR="00076776" w:rsidRDefault="00000000">
      <w:pPr>
        <w:pStyle w:val="Heading2"/>
      </w:pPr>
      <w:r>
        <w:lastRenderedPageBreak/>
        <w:t>Notes</w:t>
      </w:r>
    </w:p>
    <w:p w14:paraId="2C5A40C5" w14:textId="77777777" w:rsidR="00076776" w:rsidRDefault="00000000">
      <w:r>
        <w:t>178 @Map@Col@DoD@FFessay@Diss?</w:t>
      </w:r>
    </w:p>
    <w:p w14:paraId="1D73833C" w14:textId="77777777" w:rsidR="00076776" w:rsidRDefault="00000000">
      <w:pPr>
        <w:ind w:left="720"/>
      </w:pPr>
      <w:r>
        <w:t xml:space="preserve">During the Nootka Crisis, Pitt and his colleagues turned to Aaron Arrowsmith’s </w:t>
      </w:r>
      <w:r>
        <w:rPr>
          <w:i/>
        </w:rPr>
        <w:t xml:space="preserve">Chart of the World on Mercator’s Projection </w:t>
      </w:r>
      <w:r>
        <w:t xml:space="preserve">(published in January 1790, which collated European discoveries in the Pacific up to 1780) </w:t>
      </w:r>
      <w:proofErr w:type="gramStart"/>
      <w:r>
        <w:t>in order to</w:t>
      </w:r>
      <w:proofErr w:type="gramEnd"/>
      <w:r>
        <w:t xml:space="preserve"> chart the activities of British traders and to assess Spain’s territorial claims. … They viewed Nootka Sound through the lexicons of the ledger and the map.</w:t>
      </w:r>
    </w:p>
    <w:p w14:paraId="737E5B14" w14:textId="77777777" w:rsidR="00076776" w:rsidRDefault="00076776"/>
    <w:p w14:paraId="5178F6A4" w14:textId="77777777" w:rsidR="00076776" w:rsidRDefault="00000000">
      <w:r>
        <w:t xml:space="preserve">Build on “the ledger and the map” in their modern incarnations? The metadata and GIS? The former categorizes, creates spatial statistics, and the latter claims, through presumed accuracy. </w:t>
      </w:r>
    </w:p>
    <w:p w14:paraId="289ACC78" w14:textId="77777777" w:rsidR="00076776" w:rsidRDefault="00076776"/>
    <w:p w14:paraId="55A2D7BB" w14:textId="77777777" w:rsidR="00076776" w:rsidRDefault="00000000">
      <w:pPr>
        <w:rPr>
          <w:highlight w:val="green"/>
        </w:rPr>
      </w:pPr>
      <w:r>
        <w:rPr>
          <w:highlight w:val="green"/>
        </w:rPr>
        <w:t>236 @</w:t>
      </w:r>
      <w:proofErr w:type="gramStart"/>
      <w:r>
        <w:rPr>
          <w:highlight w:val="green"/>
        </w:rPr>
        <w:t>Diss?@</w:t>
      </w:r>
      <w:proofErr w:type="gramEnd"/>
      <w:r>
        <w:rPr>
          <w:highlight w:val="green"/>
        </w:rPr>
        <w:t>FFessay?</w:t>
      </w:r>
    </w:p>
    <w:p w14:paraId="633B0D5A" w14:textId="77777777" w:rsidR="00076776" w:rsidRDefault="00000000">
      <w:r>
        <w:t xml:space="preserve">As regards this: </w:t>
      </w:r>
    </w:p>
    <w:p w14:paraId="6B7C2F87" w14:textId="77777777" w:rsidR="00076776" w:rsidRDefault="00000000">
      <w:pPr>
        <w:ind w:left="720"/>
      </w:pPr>
      <w:r>
        <w:t xml:space="preserve">…land and identity by theorists of colonialism who have persuasively argued that metropolitan-colonial relationships were produced and sustained by </w:t>
      </w:r>
      <w:r>
        <w:rPr>
          <w:b/>
        </w:rPr>
        <w:t>Western “imaginative geographies”</w:t>
      </w:r>
      <w:r>
        <w:t xml:space="preserve"> of other lands and peoples. Such geographies were </w:t>
      </w:r>
      <w:r>
        <w:rPr>
          <w:b/>
        </w:rPr>
        <w:t>both vague and detailed</w:t>
      </w:r>
      <w:r>
        <w:t>. They revolved around general cultural assumptions and fantasies about the non-Western world and more exact bodies of knowledge that stemmed from a close engagement with distant peoples and places.</w:t>
      </w:r>
    </w:p>
    <w:p w14:paraId="16383539" w14:textId="77777777" w:rsidR="00076776" w:rsidRDefault="00076776"/>
    <w:p w14:paraId="055E83D5" w14:textId="77777777" w:rsidR="00076776" w:rsidRDefault="00000000">
      <w:r>
        <w:t xml:space="preserve">We can build on this notion that “imaginative geographies” being “both vague and detailed” through the elements and features of a colonial maps, which record some areas (Fort Victoria) with great accuracy, and other areas (a forest) as vague. Is there a relationship between a “known” place and level of detail? Following this, if a cityscape is detailed on a map and a forest is not, is this a reflection of practical, knowledge-based, or aesthetic choices? Practical, in that I need to know a street name in order to find a location; knowledge-based, in that the map reflects what settlers value as information; aesthetic, in that a city, with its straight lines and clustered  linearity is easier to draw than every tree in a patch of forest, which usually gets represented as, in the case of Pembroke’s maps for example, uniform strokes of bright-green, generic, fantasy trees. </w:t>
      </w:r>
    </w:p>
    <w:p w14:paraId="15F437BB" w14:textId="77777777" w:rsidR="00076776" w:rsidRDefault="00076776"/>
    <w:p w14:paraId="550AC0FF" w14:textId="77777777" w:rsidR="00076776" w:rsidRDefault="00000000">
      <w:pPr>
        <w:pStyle w:val="Heading1"/>
      </w:pPr>
      <w:bookmarkStart w:id="47" w:name="_heading=h.28h4qwu" w:colFirst="0" w:colLast="0"/>
      <w:bookmarkEnd w:id="47"/>
      <w:r>
        <w:t>(2002) Harris, Making Native Space: Colonialism, Resistance, and Reserves in British Columbia</w:t>
      </w:r>
    </w:p>
    <w:p w14:paraId="189ADC18" w14:textId="77777777" w:rsidR="00076776" w:rsidRDefault="00076776"/>
    <w:p w14:paraId="07FA35F3" w14:textId="77777777" w:rsidR="00076776" w:rsidRDefault="00000000">
      <w:pPr>
        <w:pStyle w:val="Heading2"/>
      </w:pPr>
      <w:r>
        <w:t>Abstract</w:t>
      </w:r>
    </w:p>
    <w:p w14:paraId="24F46BB8" w14:textId="77777777" w:rsidR="00076776" w:rsidRDefault="00000000">
      <w:r>
        <w:t xml:space="preserve">A history of reserve systems of British Columbia, as told through the lens of postcolonialism and maps. </w:t>
      </w:r>
    </w:p>
    <w:p w14:paraId="4FD52D69" w14:textId="77777777" w:rsidR="00076776" w:rsidRDefault="00076776"/>
    <w:p w14:paraId="403BFE7E" w14:textId="77777777" w:rsidR="00076776" w:rsidRDefault="00000000">
      <w:pPr>
        <w:pStyle w:val="Heading2"/>
      </w:pPr>
      <w:r>
        <w:t>Key words</w:t>
      </w:r>
    </w:p>
    <w:p w14:paraId="589F1072" w14:textId="77777777" w:rsidR="00076776" w:rsidRDefault="00000000">
      <w:r>
        <w:t>land question, reserves, history, BC history, postcolonialism, maps Indigenous history</w:t>
      </w:r>
    </w:p>
    <w:p w14:paraId="6946DC19" w14:textId="77777777" w:rsidR="00076776" w:rsidRDefault="00076776"/>
    <w:p w14:paraId="5E76A07E" w14:textId="77777777" w:rsidR="00076776" w:rsidRDefault="00000000">
      <w:pPr>
        <w:pStyle w:val="Heading2"/>
      </w:pPr>
      <w:r>
        <w:lastRenderedPageBreak/>
        <w:t>Essential quote</w:t>
      </w:r>
    </w:p>
    <w:p w14:paraId="07F7F3D1" w14:textId="77777777" w:rsidR="00076776" w:rsidRDefault="00000000">
      <w:r>
        <w:t>[</w:t>
      </w:r>
      <w:r>
        <w:rPr>
          <w:i/>
        </w:rPr>
        <w:t>One</w:t>
      </w:r>
      <w:r>
        <w:t xml:space="preserve"> quote that you feel speaks to/for the whole work.]</w:t>
      </w:r>
    </w:p>
    <w:p w14:paraId="4E515DEF" w14:textId="77777777" w:rsidR="00076776" w:rsidRDefault="00076776"/>
    <w:p w14:paraId="228D7ED4" w14:textId="77777777" w:rsidR="00076776" w:rsidRDefault="00000000">
      <w:pPr>
        <w:pStyle w:val="Heading2"/>
      </w:pPr>
      <w:r>
        <w:t>Terms</w:t>
      </w:r>
    </w:p>
    <w:p w14:paraId="29475F29" w14:textId="77777777" w:rsidR="00076776" w:rsidRDefault="00000000">
      <w:r>
        <w:t>[Any useful terms, concepts, or definitions that might be useful.]</w:t>
      </w:r>
    </w:p>
    <w:p w14:paraId="321A810F" w14:textId="77777777" w:rsidR="00076776" w:rsidRDefault="00076776"/>
    <w:p w14:paraId="3DD5FC22" w14:textId="77777777" w:rsidR="00076776" w:rsidRDefault="00000000">
      <w:pPr>
        <w:pStyle w:val="Heading2"/>
      </w:pPr>
      <w:r>
        <w:t>Core quotes</w:t>
      </w:r>
    </w:p>
    <w:p w14:paraId="55367C77" w14:textId="77777777" w:rsidR="00076776" w:rsidRDefault="00076776"/>
    <w:p w14:paraId="2651D273" w14:textId="77777777" w:rsidR="00076776" w:rsidRDefault="00000000">
      <w:pPr>
        <w:pStyle w:val="Heading5"/>
      </w:pPr>
      <w:r>
        <w:t>Robert A. Campbell review</w:t>
      </w:r>
    </w:p>
    <w:p w14:paraId="2C034ADD" w14:textId="77777777" w:rsidR="00076776" w:rsidRDefault="00000000">
      <w:pPr>
        <w:pStyle w:val="Heading5"/>
      </w:pPr>
      <w:r>
        <w:t>Lutz review (2004)</w:t>
      </w:r>
    </w:p>
    <w:p w14:paraId="155BC5E5" w14:textId="77777777" w:rsidR="00076776" w:rsidRDefault="00076776"/>
    <w:p w14:paraId="7CC3B236" w14:textId="77777777" w:rsidR="00076776" w:rsidRDefault="00000000">
      <w:r>
        <w:t>281</w:t>
      </w:r>
    </w:p>
    <w:p w14:paraId="7A98C184" w14:textId="77777777" w:rsidR="00076776" w:rsidRDefault="00000000">
      <w:pPr>
        <w:ind w:left="720"/>
      </w:pPr>
      <w:r>
        <w:t xml:space="preserve">The book documents the creation of Indian reserves in the province of British Columbia through various phases from 1852 to 1938, arguing that the lines demarcating "Native space" are the "primal </w:t>
      </w:r>
      <w:proofErr w:type="spellStart"/>
      <w:r>
        <w:t>lines"upon</w:t>
      </w:r>
      <w:proofErr w:type="spellEnd"/>
      <w:r>
        <w:t xml:space="preserve"> which modern British Columbia is based. Although focused on "space" and boundaries, the book deftly links space and labour and so is of importance to the study of labour and Canadian history, generally.</w:t>
      </w:r>
    </w:p>
    <w:p w14:paraId="5144E78D" w14:textId="77777777" w:rsidR="00076776" w:rsidRDefault="00076776"/>
    <w:p w14:paraId="5B73FD23" w14:textId="77777777" w:rsidR="00076776" w:rsidRDefault="00000000">
      <w:r>
        <w:t>282</w:t>
      </w:r>
    </w:p>
    <w:p w14:paraId="0BC31DA8" w14:textId="77777777" w:rsidR="00076776" w:rsidRDefault="00000000">
      <w:pPr>
        <w:ind w:left="720"/>
      </w:pPr>
      <w:r>
        <w:t>Over 50 maps in the book by cartographer Eric Leinberger leave little doubt about the residual nature of the one third of one percent of British Columbia that is now "Native space." Labour, it turns out, was central to the shrinkage of Native space. Canada is founded, Harris says, on "the displacement of a people from their land and its repossession by others." (xxiv) This blunt inequality has been papered over, not only to justify it, but to make it seem a positive virtue. … Harris lays out the debates that swirled</w:t>
      </w:r>
    </w:p>
    <w:p w14:paraId="575565C2" w14:textId="77777777" w:rsidR="00076776" w:rsidRDefault="00000000">
      <w:pPr>
        <w:ind w:left="720"/>
      </w:pPr>
      <w:r>
        <w:t xml:space="preserve">around the displacement of indigenous peoples in the 18th and 19th centuries but emphasizes that philosophy was less the cause and more the rationale. The displacement of Native people had more to do with a potent settler land-hunger which overwhelmed the weak paternalistic response by the British Colonial Office, and later the federal government. … It makes a strong case that state paternalism served Aboriginal people better than a settler-dominated responsible government. It clearly demonstrates that from the start and through the changing colonial poli </w:t>
      </w:r>
      <w:proofErr w:type="spellStart"/>
      <w:r>
        <w:t>cies</w:t>
      </w:r>
      <w:proofErr w:type="spellEnd"/>
      <w:r>
        <w:t>, there has been a consistent assertion by Aboriginal people to ownership of the land they were being pushed off. Harris also demonstrates that colonialism and colonists were complex, often in conflict among themselves, and rarely speaking with one voice. He highlights Indian Commissioner Gilbert Malcolm Sproat, who went against the grain. Sproat reminds us of possibility and urgency of internal dissent when a majority moves unfairly against a minority.</w:t>
      </w:r>
    </w:p>
    <w:p w14:paraId="022DB85E" w14:textId="77777777" w:rsidR="00076776" w:rsidRDefault="00076776"/>
    <w:p w14:paraId="2F06AF6A" w14:textId="77777777" w:rsidR="00076776" w:rsidRDefault="00076776"/>
    <w:p w14:paraId="2E843101" w14:textId="77777777" w:rsidR="00076776" w:rsidRDefault="00076776"/>
    <w:p w14:paraId="2058C663" w14:textId="77777777" w:rsidR="00076776" w:rsidRDefault="00000000">
      <w:pPr>
        <w:pStyle w:val="Heading2"/>
      </w:pPr>
      <w:r>
        <w:t>Secondary quotes</w:t>
      </w:r>
    </w:p>
    <w:p w14:paraId="08BF8156" w14:textId="77777777" w:rsidR="00076776" w:rsidRDefault="00000000">
      <w:r>
        <w:t>[Interesting quotes, but not related directly to my FF exams, that could be used in future work. List page number and a bit of the quote, or my own words about what to find and where.]</w:t>
      </w:r>
    </w:p>
    <w:p w14:paraId="35D16AA7" w14:textId="77777777" w:rsidR="00076776" w:rsidRDefault="00076776"/>
    <w:p w14:paraId="3DF55B2A" w14:textId="77777777" w:rsidR="00076776" w:rsidRDefault="00000000">
      <w:pPr>
        <w:pStyle w:val="Heading2"/>
      </w:pPr>
      <w:r>
        <w:lastRenderedPageBreak/>
        <w:t>Notes</w:t>
      </w:r>
    </w:p>
    <w:p w14:paraId="08B73393" w14:textId="1F7C5383" w:rsidR="00076776" w:rsidRDefault="00000000">
      <w:r>
        <w:t>[Optional section that contains reflections, criti</w:t>
      </w:r>
      <w:r w:rsidR="00852F50">
        <w:t>cism]</w:t>
      </w:r>
    </w:p>
    <w:p w14:paraId="774255A8" w14:textId="77777777" w:rsidR="00076776" w:rsidRDefault="00000000">
      <w:pPr>
        <w:pStyle w:val="Heading1"/>
      </w:pPr>
      <w:bookmarkStart w:id="48" w:name="_heading=h.nmf14n" w:colFirst="0" w:colLast="0"/>
      <w:bookmarkEnd w:id="48"/>
      <w:r>
        <w:t xml:space="preserve">(2008) Lutz, </w:t>
      </w:r>
      <w:r>
        <w:rPr>
          <w:i/>
        </w:rPr>
        <w:t>Makúk: A New History of Aboriginal-White Relations</w:t>
      </w:r>
    </w:p>
    <w:p w14:paraId="46DD0445" w14:textId="77777777" w:rsidR="00076776" w:rsidRDefault="00076776"/>
    <w:p w14:paraId="27F996AC" w14:textId="77777777" w:rsidR="00076776" w:rsidRDefault="00000000">
      <w:pPr>
        <w:pStyle w:val="Heading2"/>
      </w:pPr>
      <w:r>
        <w:t>Abstract</w:t>
      </w:r>
    </w:p>
    <w:p w14:paraId="2D160287" w14:textId="77777777" w:rsidR="00076776" w:rsidRDefault="00000000">
      <w:r>
        <w:t xml:space="preserve">In John’s words, </w:t>
      </w:r>
    </w:p>
    <w:p w14:paraId="406BB7CE" w14:textId="77777777" w:rsidR="00076776" w:rsidRDefault="00000000">
      <w:pPr>
        <w:ind w:left="720"/>
      </w:pPr>
      <w:r>
        <w:t xml:space="preserve">[4] </w:t>
      </w:r>
      <w:proofErr w:type="spellStart"/>
      <w:r>
        <w:t>Makúk</w:t>
      </w:r>
      <w:proofErr w:type="spellEnd"/>
      <w:r>
        <w:t xml:space="preserve"> focuses on British Columbia, Canada, to look at an international process – the displacement of Aboriginal Peoples from control of resources, the resettlement of land by people of European descent, and the partial incorporation of Aboriginal Peoples into the new Euro- Canadian economy and into the modern welfare state. … This book also focuses on the work-for-pay exchange between Aboriginal People and immigrants of European stock, the two most prominent cultural groups in colonial British Columbia, and follows the patterns of this exchange from its origins through to the present.</w:t>
      </w:r>
    </w:p>
    <w:p w14:paraId="7F772D9A" w14:textId="77777777" w:rsidR="00076776" w:rsidRDefault="00076776"/>
    <w:p w14:paraId="1A1D6FFF" w14:textId="77777777" w:rsidR="00076776" w:rsidRDefault="00000000">
      <w:pPr>
        <w:pStyle w:val="Heading2"/>
      </w:pPr>
      <w:r>
        <w:t>Key words</w:t>
      </w:r>
    </w:p>
    <w:p w14:paraId="765E57A2" w14:textId="77777777" w:rsidR="00076776" w:rsidRDefault="00000000">
      <w:r>
        <w:t>exchange, Aboriginal-settler relations, capitalism, power, interculturalism, dialogue, dialogic, intertextuality</w:t>
      </w:r>
    </w:p>
    <w:p w14:paraId="1C54E56E" w14:textId="77777777" w:rsidR="00076776" w:rsidRDefault="00076776"/>
    <w:p w14:paraId="7FF25EEF" w14:textId="77777777" w:rsidR="00076776" w:rsidRDefault="00000000">
      <w:pPr>
        <w:pStyle w:val="Heading2"/>
      </w:pPr>
      <w:r>
        <w:t>Essential quote</w:t>
      </w:r>
    </w:p>
    <w:p w14:paraId="1030FCF3" w14:textId="77777777" w:rsidR="00076776" w:rsidRDefault="00000000">
      <w:r>
        <w:t>296: Canadians are haunted by the unfinished business of colonization and a collective guilt</w:t>
      </w:r>
    </w:p>
    <w:p w14:paraId="4264AF00" w14:textId="77777777" w:rsidR="00076776" w:rsidRDefault="00000000">
      <w:r>
        <w:t>over historic injustices and our contemporary relationships with Aboriginal Peoples.</w:t>
      </w:r>
      <w:r>
        <w:rPr>
          <w:vertAlign w:val="superscript"/>
        </w:rPr>
        <w:t>30</w:t>
      </w:r>
    </w:p>
    <w:p w14:paraId="2B9A59BC" w14:textId="77777777" w:rsidR="00076776" w:rsidRDefault="00076776"/>
    <w:p w14:paraId="5B7146C1" w14:textId="77777777" w:rsidR="00076776" w:rsidRDefault="00000000">
      <w:pPr>
        <w:ind w:left="720"/>
      </w:pPr>
      <w:r>
        <w:rPr>
          <w:b/>
        </w:rPr>
        <w:t>Note 30</w:t>
      </w:r>
      <w:r>
        <w:t xml:space="preserve">: Robin Ward, </w:t>
      </w:r>
      <w:r>
        <w:rPr>
          <w:i/>
        </w:rPr>
        <w:t xml:space="preserve">Echoes of Empire: Victoria and Its Remarkable Buildings </w:t>
      </w:r>
      <w:r>
        <w:t xml:space="preserve">(Madeira Park, BC: Harbour Publishing, 1996); Avery Gordon, </w:t>
      </w:r>
      <w:r>
        <w:rPr>
          <w:i/>
        </w:rPr>
        <w:t xml:space="preserve">Ghostly Matters: Haunting and the Sociological Imagination </w:t>
      </w:r>
      <w:r>
        <w:t xml:space="preserve">(Minneapolis: University of Minnesota Press, 1997), 17-18; </w:t>
      </w:r>
      <w:proofErr w:type="spellStart"/>
      <w:r>
        <w:t>Renée</w:t>
      </w:r>
      <w:proofErr w:type="spellEnd"/>
      <w:r>
        <w:t xml:space="preserve"> Bergland, </w:t>
      </w:r>
      <w:r>
        <w:rPr>
          <w:i/>
        </w:rPr>
        <w:t xml:space="preserve">The National Uncanny: Indian Ghosts and American Subjects </w:t>
      </w:r>
      <w:r>
        <w:t xml:space="preserve">(Hanover, NH: University of New England Press, 2000), 22. Thanks to Christina Nilson for introducing me to these books. </w:t>
      </w:r>
    </w:p>
    <w:p w14:paraId="23B44291" w14:textId="77777777" w:rsidR="00076776" w:rsidRDefault="00076776"/>
    <w:p w14:paraId="556A7018" w14:textId="77777777" w:rsidR="00076776" w:rsidRDefault="00000000">
      <w:pPr>
        <w:pStyle w:val="Heading2"/>
      </w:pPr>
      <w:r>
        <w:t>Terms</w:t>
      </w:r>
    </w:p>
    <w:p w14:paraId="6F5B2421" w14:textId="77777777" w:rsidR="00076776" w:rsidRDefault="00000000">
      <w:r>
        <w:t xml:space="preserve">4 </w:t>
      </w:r>
      <w:proofErr w:type="spellStart"/>
      <w:r>
        <w:rPr>
          <w:b/>
        </w:rPr>
        <w:t>makúk</w:t>
      </w:r>
      <w:proofErr w:type="spellEnd"/>
      <w:r>
        <w:t xml:space="preserve">: exchange. [10] an important point: </w:t>
      </w:r>
      <w:r>
        <w:rPr>
          <w:i/>
          <w:highlight w:val="green"/>
        </w:rPr>
        <w:t>what was given may not be what was received</w:t>
      </w:r>
      <w:r>
        <w:t>. …  Exchange is a process that involves the translation of meaning as well as goods. When goods changed hands, “what they were good for” was also transformed. The “molasses stick legs” story is one example among many of how objects in circulation from one culture to another are often transformed by the act of exchange itself.</w:t>
      </w:r>
    </w:p>
    <w:p w14:paraId="1685F6E8" w14:textId="77777777" w:rsidR="00076776" w:rsidRDefault="00000000">
      <w:r>
        <w:t xml:space="preserve">6 </w:t>
      </w:r>
      <w:r>
        <w:rPr>
          <w:b/>
        </w:rPr>
        <w:t>forms of exchange</w:t>
      </w:r>
      <w:r>
        <w:t xml:space="preserve"> &amp; </w:t>
      </w:r>
      <w:r>
        <w:rPr>
          <w:b/>
        </w:rPr>
        <w:t>the Indian problem</w:t>
      </w:r>
      <w:r>
        <w:t>: Viral, genetic, and biological exchanges accompanied these new interactions. Of all these forms of exchange, I focus on wages and welfare because aboriginal work for pay, or the lack of it, is central to an understanding of Euro-Canadian expansion into British Columbia and is the core of the discussion about what others have called the “</w:t>
      </w:r>
      <w:r>
        <w:rPr>
          <w:b/>
        </w:rPr>
        <w:t>Indian problem</w:t>
      </w:r>
      <w:r>
        <w:t>” – the place of Aboriginal People in Canadian society today.</w:t>
      </w:r>
    </w:p>
    <w:p w14:paraId="2C5DF1EE" w14:textId="77777777" w:rsidR="00076776" w:rsidRDefault="00000000">
      <w:r>
        <w:lastRenderedPageBreak/>
        <w:t xml:space="preserve">7 </w:t>
      </w:r>
      <w:r>
        <w:rPr>
          <w:b/>
        </w:rPr>
        <w:t>Protestant work ethic</w:t>
      </w:r>
      <w:r>
        <w:t xml:space="preserve">: … what </w:t>
      </w:r>
      <w:r>
        <w:rPr>
          <w:highlight w:val="magenta"/>
        </w:rPr>
        <w:t>Max Weber</w:t>
      </w:r>
      <w:r>
        <w:t xml:space="preserve"> called the “Protestant work ethic.” By the new standards, a person’s value as a human being was related to his or her willingness to work long hours, to sacrifice leisure, and to pursue wealth beyond her/his basic material needs. From pariahs, merchants became the pillars of the church and the leaders of the community. Since then, Western culture has generally reserved the highest status to those most successful at hoarding wealth.</w:t>
      </w:r>
    </w:p>
    <w:p w14:paraId="2B171486" w14:textId="77777777" w:rsidR="00076776" w:rsidRDefault="00000000">
      <w:r>
        <w:t xml:space="preserve">7 </w:t>
      </w:r>
      <w:proofErr w:type="gramStart"/>
      <w:r>
        <w:rPr>
          <w:b/>
        </w:rPr>
        <w:t>economy</w:t>
      </w:r>
      <w:proofErr w:type="gramEnd"/>
      <w:r>
        <w:rPr>
          <w:b/>
        </w:rPr>
        <w:t xml:space="preserve"> of uselessness</w:t>
      </w:r>
      <w:r>
        <w:t xml:space="preserve">: There is a widespread misconception that, after the arrival of Euro- peans in British Columbia, Aboriginal Peoples remained outside the capitalist economy in what </w:t>
      </w:r>
      <w:r>
        <w:rPr>
          <w:highlight w:val="magenta"/>
        </w:rPr>
        <w:t>Cardell Jacobsen</w:t>
      </w:r>
      <w:r>
        <w:t xml:space="preserve"> has called, within an American context, an “economy of uselessness.”</w:t>
      </w:r>
    </w:p>
    <w:p w14:paraId="2F7B2316" w14:textId="77777777" w:rsidR="00076776" w:rsidRDefault="00000000">
      <w:r>
        <w:rPr>
          <w:highlight w:val="green"/>
        </w:rPr>
        <w:t xml:space="preserve">8 </w:t>
      </w:r>
      <w:r>
        <w:rPr>
          <w:b/>
          <w:highlight w:val="green"/>
        </w:rPr>
        <w:t xml:space="preserve">peaceable </w:t>
      </w:r>
      <w:proofErr w:type="gramStart"/>
      <w:r>
        <w:rPr>
          <w:b/>
          <w:highlight w:val="green"/>
        </w:rPr>
        <w:t>subordination</w:t>
      </w:r>
      <w:proofErr w:type="gramEnd"/>
      <w:r>
        <w:t xml:space="preserve">: By “peaceable subordination” I am referring to strategies used by certain European colonists and colonial states to dominate occupied lands while publicly deploring the violence of conquest. The dispossession of Aboriginal Peoples was cloaked in this language of incorporation, through which they were supposed to be brought into a state of civilization by the extension of Christianity, education, private property, capitalist social relations, British justice, and, ultimately, the social welfare state. [24] By “peaceable subordination” I mean the techniques of power that the British used to secure colonies, all the while decrying the violence used by other colonial powers (including themselves, when necessary). Here, the dispossession of Aboriginal Peoples was cloaked in terms of incorporation, of bringing them into “a new order of things” with the benefits of Christianity, civilization, and the rule of British law. The term “peaceable subordination” contains within it the paradoxes of the British colonial projects highlighted by </w:t>
      </w:r>
      <w:r>
        <w:rPr>
          <w:highlight w:val="magenta"/>
        </w:rPr>
        <w:t>Ranajit Guha</w:t>
      </w:r>
      <w:r>
        <w:t>. First, the British were financing a home society that was based on the principles of liberal- ism with a foreign empire that denied to the colonized the entitlements of the liberal state. Peaceable colonization was closer to liberalism than was outright conquest, but subordination was, nonetheless, the goal. Britain established its domination based on the promise of the distant but eventual extension of liberal-democratic institutions to the colonized.</w:t>
      </w:r>
      <w:r>
        <w:rPr>
          <w:vertAlign w:val="superscript"/>
        </w:rPr>
        <w:t>33</w:t>
      </w:r>
      <w:r>
        <w:t xml:space="preserve"> The preserve-and-destroy dialectics of capitalism contribute to peaceable subordination.</w:t>
      </w:r>
    </w:p>
    <w:p w14:paraId="21FDC4A2" w14:textId="77777777" w:rsidR="00076776" w:rsidRDefault="00000000">
      <w:r>
        <w:t xml:space="preserve">9 </w:t>
      </w:r>
      <w:proofErr w:type="gramStart"/>
      <w:r>
        <w:rPr>
          <w:b/>
        </w:rPr>
        <w:t>work</w:t>
      </w:r>
      <w:proofErr w:type="gramEnd"/>
      <w:r>
        <w:rPr>
          <w:b/>
        </w:rPr>
        <w:t xml:space="preserve"> for pay</w:t>
      </w:r>
      <w:r>
        <w:t xml:space="preserve"> is a complicated exchange involving, for the worker: class-relations, subordination, work discipline, and a specialized division of labour.</w:t>
      </w:r>
    </w:p>
    <w:p w14:paraId="1F6D32D3" w14:textId="77777777" w:rsidR="00076776" w:rsidRDefault="00000000">
      <w:r>
        <w:t xml:space="preserve">12-13 </w:t>
      </w:r>
      <w:proofErr w:type="spellStart"/>
      <w:r>
        <w:rPr>
          <w:b/>
        </w:rPr>
        <w:t>macrohistory</w:t>
      </w:r>
      <w:proofErr w:type="spellEnd"/>
      <w:r>
        <w:t xml:space="preserve"> &amp; </w:t>
      </w:r>
      <w:r>
        <w:rPr>
          <w:b/>
        </w:rPr>
        <w:t>microhistory</w:t>
      </w:r>
      <w:r>
        <w:t xml:space="preserve">: … In microhistory ... the researcher’s point of view becomes an intrinsic part of the account ... The reader is involved in a sort of dialogue and participates in the whole process of constructing the historical argument [Giovanni Levi, “On Microhistory,” 1991]. </w:t>
      </w:r>
    </w:p>
    <w:p w14:paraId="3B43966E" w14:textId="77777777" w:rsidR="00076776" w:rsidRDefault="00000000">
      <w:r>
        <w:t xml:space="preserve">15 </w:t>
      </w:r>
      <w:r>
        <w:rPr>
          <w:b/>
          <w:highlight w:val="green"/>
        </w:rPr>
        <w:t>Chinook jargon</w:t>
      </w:r>
      <w:r>
        <w:rPr>
          <w:highlight w:val="green"/>
        </w:rPr>
        <w:t xml:space="preserve">, or </w:t>
      </w:r>
      <w:r>
        <w:rPr>
          <w:b/>
          <w:highlight w:val="green"/>
        </w:rPr>
        <w:t>wawa</w:t>
      </w:r>
      <w:r>
        <w:t>: [29] Chinook was the language of intercultural dialogue in British Columbia and the Pacific Northwest from the end of the eighteenth century to the early decades of the twentieth century. Aboriginal People referred to it as the “white man’s language” and whites referred to it as “speaking Indian.” It was a language of cultural interaction, of improvisation, and it was built cooperatively. … Mikhail Bakhtin would describe Chinook jargon as an intentional semantic hybrid in which “there are always two consciousnesses, two language-intentions [and] two voices.” As he points out, “</w:t>
      </w:r>
      <w:r>
        <w:rPr>
          <w:b/>
        </w:rPr>
        <w:t xml:space="preserve">Intentional semantic hybrids are inevitably internally dialogic. Two points of view are not </w:t>
      </w:r>
      <w:proofErr w:type="gramStart"/>
      <w:r>
        <w:rPr>
          <w:b/>
        </w:rPr>
        <w:t>mixed, but</w:t>
      </w:r>
      <w:proofErr w:type="gramEnd"/>
      <w:r>
        <w:rPr>
          <w:b/>
        </w:rPr>
        <w:t xml:space="preserve"> set against each other dialogically.”</w:t>
      </w:r>
      <w:r>
        <w:rPr>
          <w:vertAlign w:val="superscript"/>
        </w:rPr>
        <w:t>44</w:t>
      </w:r>
    </w:p>
    <w:p w14:paraId="2AEEC245" w14:textId="77777777" w:rsidR="00076776" w:rsidRDefault="00000000">
      <w:r>
        <w:t xml:space="preserve">15 </w:t>
      </w:r>
      <w:proofErr w:type="spellStart"/>
      <w:r>
        <w:rPr>
          <w:b/>
        </w:rPr>
        <w:t>pomo</w:t>
      </w:r>
      <w:proofErr w:type="spellEnd"/>
      <w:r>
        <w:rPr>
          <w:b/>
        </w:rPr>
        <w:t xml:space="preserve"> wawa</w:t>
      </w:r>
      <w:r>
        <w:t xml:space="preserve"> [postmodern wawa] … postmodern (</w:t>
      </w:r>
      <w:proofErr w:type="spellStart"/>
      <w:r>
        <w:t>pomo</w:t>
      </w:r>
      <w:proofErr w:type="spellEnd"/>
      <w:r>
        <w:t xml:space="preserve">) vocabulary has served as a kind of lingua franca allowing scholars to communicate across disciplines. Much of the </w:t>
      </w:r>
      <w:proofErr w:type="spellStart"/>
      <w:r>
        <w:t>pomo</w:t>
      </w:r>
      <w:proofErr w:type="spellEnd"/>
      <w:r>
        <w:t xml:space="preserve"> wawa has been expressly political, the goal being to show how colonial processes have marginalized indigenous peoples around the world. Ironically, as </w:t>
      </w:r>
      <w:r>
        <w:rPr>
          <w:highlight w:val="magenta"/>
        </w:rPr>
        <w:t>Linda Tuhwai Smith</w:t>
      </w:r>
      <w:r>
        <w:t xml:space="preserve">, a </w:t>
      </w:r>
      <w:proofErr w:type="spellStart"/>
      <w:r>
        <w:t>Maori</w:t>
      </w:r>
      <w:proofErr w:type="spellEnd"/>
      <w:r>
        <w:t xml:space="preserve"> writer, points </w:t>
      </w:r>
      <w:r>
        <w:lastRenderedPageBreak/>
        <w:t>out in her work Decolonizing Methodologies, sympathetic postcolonial writing leaves indigenous peoples out – partly because the language of critique is inaccessible and partly because they cannot recognize themselves in it: “There can be no post-modern for us until we have settled some business of the modern.”</w:t>
      </w:r>
      <w:r>
        <w:rPr>
          <w:vertAlign w:val="superscript"/>
        </w:rPr>
        <w:t>2</w:t>
      </w:r>
    </w:p>
    <w:p w14:paraId="249F8F69" w14:textId="77777777" w:rsidR="00076776" w:rsidRDefault="00000000">
      <w:r>
        <w:rPr>
          <w:highlight w:val="green"/>
        </w:rPr>
        <w:t xml:space="preserve">21 </w:t>
      </w:r>
      <w:proofErr w:type="gramStart"/>
      <w:r>
        <w:rPr>
          <w:b/>
          <w:highlight w:val="green"/>
        </w:rPr>
        <w:t>dialogism</w:t>
      </w:r>
      <w:proofErr w:type="gramEnd"/>
      <w:r>
        <w:t xml:space="preserve">: In his work on literary texts and literary dialogue Russian semiotician Mikhail Bakhtin offers numerous insights to historians, but it is his concept of “dialogism” that is one of the main levers used in this book. Dialogism focuses on the interactive aspect of speech, a quality that can be extended to include exchange more generally: </w:t>
      </w:r>
      <w:r>
        <w:rPr>
          <w:b/>
        </w:rPr>
        <w:t>nothing is said that does not take the listener into account</w:t>
      </w:r>
      <w:r>
        <w:t xml:space="preserve">. … I use the concept of dialogism to decentre the prevailing historiography, which is based primarily on European voices, and to include and [22] compare aboriginal views of the colonial process. This comparison of voices reveals the continuing existence of different meanings in similar utterances: “the two sides use some of the same language and describe some of the same events but often disagree on the meaning.” According to Bakhtin, “a word, discourse, language undergoes </w:t>
      </w:r>
      <w:proofErr w:type="spellStart"/>
      <w:r>
        <w:rPr>
          <w:b/>
        </w:rPr>
        <w:t>dialogization</w:t>
      </w:r>
      <w:proofErr w:type="spellEnd"/>
      <w:r>
        <w:t xml:space="preserve"> when it becomes relativized, deprivileged, aware of competing definitions for the same things.”</w:t>
      </w:r>
      <w:r>
        <w:rPr>
          <w:vertAlign w:val="superscript"/>
        </w:rPr>
        <w:t xml:space="preserve">25 </w:t>
      </w:r>
      <w:r>
        <w:t xml:space="preserve">No utterance in general can be attributed to the speaker exclusively; it is </w:t>
      </w:r>
      <w:r>
        <w:rPr>
          <w:i/>
        </w:rPr>
        <w:t>the product of the interaction of the interlocutors</w:t>
      </w:r>
      <w:r>
        <w:t xml:space="preserve">, and broadly speaking, the product of the whole complex </w:t>
      </w:r>
      <w:r>
        <w:rPr>
          <w:i/>
        </w:rPr>
        <w:t>social situation</w:t>
      </w:r>
      <w:r>
        <w:t xml:space="preserve"> in which it has occurred.</w:t>
      </w:r>
    </w:p>
    <w:p w14:paraId="184D676B" w14:textId="77777777" w:rsidR="00076776" w:rsidRDefault="00000000">
      <w:r>
        <w:t xml:space="preserve">21 </w:t>
      </w:r>
      <w:proofErr w:type="gramStart"/>
      <w:r>
        <w:rPr>
          <w:b/>
        </w:rPr>
        <w:t>intertextuality</w:t>
      </w:r>
      <w:proofErr w:type="gramEnd"/>
      <w:r>
        <w:t>: In Bakhtin’s words: “The speaker seeks to orient his discourse ... in relation to the horizon of the other, the one who does the understanding, and he enters into a dialogical relation with some aspects of the second horizon” even to the point where he/she reorients his/her own conceptual horizon. Every utterance is situated within a history of dialogue from which it cannot be separated, a phenomenon known as “intertextuality.”</w:t>
      </w:r>
      <w:r>
        <w:rPr>
          <w:vertAlign w:val="superscript"/>
        </w:rPr>
        <w:t>23</w:t>
      </w:r>
    </w:p>
    <w:p w14:paraId="6C853728" w14:textId="77777777" w:rsidR="00076776" w:rsidRDefault="00000000">
      <w:r>
        <w:t xml:space="preserve">22 </w:t>
      </w:r>
      <w:r>
        <w:rPr>
          <w:b/>
        </w:rPr>
        <w:t xml:space="preserve">transformational </w:t>
      </w:r>
      <w:proofErr w:type="gramStart"/>
      <w:r>
        <w:rPr>
          <w:b/>
        </w:rPr>
        <w:t>exchange</w:t>
      </w:r>
      <w:proofErr w:type="gramEnd"/>
      <w:r>
        <w:t>: [11] Transformational exchange worked both ways as aboriginal goods that were brought into circulation within a European environment also acquired new meanings. Furs from the Northwest Coast became markers of status in France and Britain, as British woollen blankets did in villages in the Pacific Northwest.</w:t>
      </w:r>
    </w:p>
    <w:p w14:paraId="4DA1D7B7" w14:textId="77777777" w:rsidR="00076776" w:rsidRDefault="00000000">
      <w:r>
        <w:t xml:space="preserve">23 </w:t>
      </w:r>
      <w:r>
        <w:rPr>
          <w:b/>
        </w:rPr>
        <w:t>strategic congruities</w:t>
      </w:r>
      <w:r>
        <w:t>: The European economy simultaneously imposed on and was welcomed and used by Aboriginal Peoples. In her study of the Puget Sound region, historian Alexandra Harmon noted that the “strategic congruities” between the values of Aboriginal Peoples and Europeans enabled them to benefit from each other’s abilities and desires while pursuing separate agendas.</w:t>
      </w:r>
    </w:p>
    <w:p w14:paraId="54DD6DC2" w14:textId="77777777" w:rsidR="00076776" w:rsidRDefault="00000000">
      <w:r>
        <w:t xml:space="preserve">23 </w:t>
      </w:r>
      <w:proofErr w:type="spellStart"/>
      <w:r>
        <w:rPr>
          <w:b/>
        </w:rPr>
        <w:t>moditional</w:t>
      </w:r>
      <w:proofErr w:type="spellEnd"/>
      <w:r>
        <w:rPr>
          <w:b/>
        </w:rPr>
        <w:t xml:space="preserve"> economy</w:t>
      </w:r>
      <w:r>
        <w:t>:</w:t>
      </w:r>
      <w:r>
        <w:rPr>
          <w:b/>
        </w:rPr>
        <w:t xml:space="preserve"> </w:t>
      </w:r>
      <w:r>
        <w:t>These economies, which combined the traditional modes of repro-</w:t>
      </w:r>
    </w:p>
    <w:p w14:paraId="4DC882FE" w14:textId="77777777" w:rsidR="00076776" w:rsidRDefault="00000000">
      <w:r>
        <w:t>duction and production (for subsistence, prestige goods, and exchange – trade was always a part of the pre-European economy) with new modes of production for exchange in a capitalist market, have often been dismissed as transitional and on the road to a modern, fully capitalist economy. In fact, they are as resilient and as long-lived as capitalism. Historically, people have engaged in multiple modes of production at different times of the day and year: they hunted, fished, gathered, farmed, raised their children, and exchanged their labour in different combinations, and as opportunities presented themselves. I refer to this mixed-mode production system as the “</w:t>
      </w:r>
      <w:proofErr w:type="spellStart"/>
      <w:r>
        <w:t>moditional</w:t>
      </w:r>
      <w:proofErr w:type="spellEnd"/>
      <w:r>
        <w:t xml:space="preserve"> economy.” [305] … </w:t>
      </w:r>
      <w:proofErr w:type="spellStart"/>
      <w:r>
        <w:t>moditional</w:t>
      </w:r>
      <w:proofErr w:type="spellEnd"/>
      <w:r>
        <w:t xml:space="preserve"> economy, with its focus on families’ choosing or emphasizing different modes as conditions change, covers indigenous peoples as well as rural and urban settler populations, historically and today. We all live within the </w:t>
      </w:r>
      <w:proofErr w:type="spellStart"/>
      <w:r>
        <w:t>moditional</w:t>
      </w:r>
      <w:proofErr w:type="spellEnd"/>
      <w:r>
        <w:t xml:space="preserve"> economy. The key modes of production and reproduction may be wages, state transfer payments, capitalist profit, family labour, or hunting and gathering. To say we are engaged in a </w:t>
      </w:r>
      <w:proofErr w:type="spellStart"/>
      <w:r>
        <w:t>moditional</w:t>
      </w:r>
      <w:proofErr w:type="spellEnd"/>
      <w:r>
        <w:t xml:space="preserve"> economy is to say that we are always engaged in more than one of these </w:t>
      </w:r>
      <w:r>
        <w:lastRenderedPageBreak/>
        <w:t>modes at a time and that the choices we make with respect to one are always dependent on our relationship to the others. // One of the “modes” in “</w:t>
      </w:r>
      <w:proofErr w:type="spellStart"/>
      <w:r>
        <w:t>moditional</w:t>
      </w:r>
      <w:proofErr w:type="spellEnd"/>
      <w:r>
        <w:t xml:space="preserve">” was capitalist…. </w:t>
      </w:r>
    </w:p>
    <w:p w14:paraId="20562A1C" w14:textId="77777777" w:rsidR="00076776" w:rsidRDefault="00000000">
      <w:r>
        <w:t xml:space="preserve">25 </w:t>
      </w:r>
      <w:r>
        <w:rPr>
          <w:b/>
        </w:rPr>
        <w:t>enframement</w:t>
      </w:r>
      <w:r>
        <w:t xml:space="preserve">: [see peaceable subjugation, above. </w:t>
      </w:r>
      <w:hyperlink r:id="rId38">
        <w:r w:rsidR="00076776">
          <w:rPr>
            <w:color w:val="0563C1"/>
            <w:u w:val="single"/>
          </w:rPr>
          <w:t>Heidegger’s idea</w:t>
        </w:r>
      </w:hyperlink>
      <w:r>
        <w:t xml:space="preserve">] Peaceable subordination occurs through a process that I refer to as “enframement.” When Aboriginal Peoples entered the capitalist </w:t>
      </w:r>
      <w:proofErr w:type="gramStart"/>
      <w:r>
        <w:t>work place</w:t>
      </w:r>
      <w:proofErr w:type="gramEnd"/>
      <w:r>
        <w:t xml:space="preserve">, they entered a foreign cultural framework. And the longer they spent within this foreign cultural framework, the more their original framework had to adjust. Over the long run, engagement in wage work and in missionization, as Harkin shows, or in bureaucratic structures, as Paul Nadasdy’s </w:t>
      </w:r>
      <w:r>
        <w:rPr>
          <w:i/>
        </w:rPr>
        <w:t>Hunters and Bureaucrats</w:t>
      </w:r>
      <w:r>
        <w:t xml:space="preserve"> shows, alters the terms of engagement and, ultimately, the original cultural frame. A second kind of enframement was also at work. Through bureaucratic and legal manoeuvres, the state established a set of legal frameworks</w:t>
      </w:r>
    </w:p>
    <w:p w14:paraId="249A33DD" w14:textId="77777777" w:rsidR="00076776" w:rsidRDefault="00000000">
      <w:r>
        <w:t>that did not, at first, impinge upon indigenous peoples because there were</w:t>
      </w:r>
    </w:p>
    <w:p w14:paraId="4AC467E5" w14:textId="77777777" w:rsidR="00076776" w:rsidRDefault="00000000">
      <w:r>
        <w:t>no means to enforce them. These included the 1849 declaration that British Law applied to British Columbia; the Indian Act, 1876, which was enacted when there only two Indian Agents for the forty to sixty thousand Aboriginal People in BC; the Fisheries Act (extended to BC in 1877); and so on. Over time, these frames built on each other, leaving Aboriginal Peoples</w:t>
      </w:r>
    </w:p>
    <w:p w14:paraId="6BD2A863" w14:textId="77777777" w:rsidR="00076776" w:rsidRDefault="00000000">
      <w:r>
        <w:t xml:space="preserve">an ever-decreasing space within which to operate. Cole Harris’s Making Native Space and Douglas Harris’s Fish, Law and Colonialism are both excellent illustrations of enframement and peaceable subordination in BC. </w:t>
      </w:r>
    </w:p>
    <w:p w14:paraId="0B92C2E6" w14:textId="77777777" w:rsidR="00076776" w:rsidRDefault="00000000">
      <w:r>
        <w:t xml:space="preserve">26 </w:t>
      </w:r>
      <w:proofErr w:type="gramStart"/>
      <w:r>
        <w:rPr>
          <w:b/>
        </w:rPr>
        <w:t>domination</w:t>
      </w:r>
      <w:proofErr w:type="gramEnd"/>
      <w:r>
        <w:rPr>
          <w:b/>
        </w:rPr>
        <w:t xml:space="preserve"> without hegemony</w:t>
      </w:r>
      <w:r>
        <w:t>: Aboriginal culture was transformed but not destroyed. Guha calls this type of situation – in which Aboriginal Peoples are under Canadian domination and have incorporated some of the Euro-Canadian worldview, yet still maintain distinct spiritual, economic, and cultural ideas – “domination without hegemony.”</w:t>
      </w:r>
    </w:p>
    <w:p w14:paraId="184B9872" w14:textId="77777777" w:rsidR="00076776" w:rsidRDefault="00000000">
      <w:r>
        <w:t xml:space="preserve">29 </w:t>
      </w:r>
      <w:proofErr w:type="spellStart"/>
      <w:r>
        <w:rPr>
          <w:b/>
          <w:i/>
        </w:rPr>
        <w:t>différend</w:t>
      </w:r>
      <w:proofErr w:type="spellEnd"/>
      <w:r>
        <w:t xml:space="preserve">: </w:t>
      </w:r>
      <w:r>
        <w:rPr>
          <w:highlight w:val="magenta"/>
        </w:rPr>
        <w:t>Jean François Lyotard</w:t>
      </w:r>
      <w:r>
        <w:t xml:space="preserve">’s notion of </w:t>
      </w:r>
      <w:proofErr w:type="spellStart"/>
      <w:r>
        <w:rPr>
          <w:i/>
        </w:rPr>
        <w:t>différend</w:t>
      </w:r>
      <w:proofErr w:type="spellEnd"/>
      <w:r>
        <w:t xml:space="preserve">, the untranslatability of experience across time and culture, reminds us of the difficulty of understanding cultural categories that exist outside our own experience. </w:t>
      </w:r>
    </w:p>
    <w:p w14:paraId="27240B4F" w14:textId="77777777" w:rsidR="00076776" w:rsidRDefault="00000000">
      <w:r>
        <w:t xml:space="preserve">275 </w:t>
      </w:r>
      <w:r>
        <w:rPr>
          <w:b/>
        </w:rPr>
        <w:t>wards of the Crown</w:t>
      </w:r>
      <w:r>
        <w:t>: In Canada, they were called wards of the Crown – a status also given to orphans and run-away children. This status, which deprived them of their lands as it deprived them of the right to buy land, denied them the right to vote in elections and ensured that no peoples in Canada would be more controlled by the government than would Aboriginal People, despite the fact that, in British Columbia, they dominated the population until the late 1800s.</w:t>
      </w:r>
    </w:p>
    <w:p w14:paraId="2CD28A86" w14:textId="77777777" w:rsidR="00076776" w:rsidRDefault="00000000">
      <w:r>
        <w:t xml:space="preserve">289 </w:t>
      </w:r>
      <w:proofErr w:type="gramStart"/>
      <w:r>
        <w:rPr>
          <w:b/>
        </w:rPr>
        <w:t>acculturation</w:t>
      </w:r>
      <w:proofErr w:type="gramEnd"/>
      <w:r>
        <w:t>:  In the social sciences the dominant model for cultural change had been “acculturation,” which translates into the undermining and replacing of aboriginal cultures.</w:t>
      </w:r>
    </w:p>
    <w:p w14:paraId="241912B2" w14:textId="77777777" w:rsidR="00076776" w:rsidRDefault="00000000">
      <w:r>
        <w:t>301-02 potlatch: … the Chinook jargon word “potlatch” is perhaps the best. Derived from a Nuu-chah-nulth word meaning “to give,” it came to mean, in Chinook jargon, “a gift, to give,” to “give a speech” (</w:t>
      </w:r>
      <w:r>
        <w:rPr>
          <w:i/>
        </w:rPr>
        <w:t>potlatch wawa</w:t>
      </w:r>
      <w:r>
        <w:t>), and “wages” (</w:t>
      </w:r>
      <w:r>
        <w:rPr>
          <w:i/>
        </w:rPr>
        <w:t xml:space="preserve">potlatch </w:t>
      </w:r>
      <w:proofErr w:type="spellStart"/>
      <w:r>
        <w:rPr>
          <w:i/>
        </w:rPr>
        <w:t>dolla</w:t>
      </w:r>
      <w:proofErr w:type="spellEnd"/>
      <w:r>
        <w:t xml:space="preserve">). It also came to mean any of the wide range of celebrations, feasts, or gatherings in which Aboriginal Peoples of the Northwest Coast gave gifts. … Europeans misunderstood the potlatch, seeing it as anti-capitalist because it was an occasion on which wealth was shared in and between communities, with the highest status being achieved by the one who gave away the most. [303] Around this time [1890s] another meaning of the word “potlatch” </w:t>
      </w:r>
      <w:proofErr w:type="gramStart"/>
      <w:r>
        <w:t>appears:</w:t>
      </w:r>
      <w:proofErr w:type="gramEnd"/>
      <w:r>
        <w:t xml:space="preserve"> when Indian Agents distributed “relief,” Aboriginal People thanked them for the “potlatch.” In making this link, we see language undergoing </w:t>
      </w:r>
      <w:proofErr w:type="spellStart"/>
      <w:r>
        <w:t>dialogization</w:t>
      </w:r>
      <w:proofErr w:type="spellEnd"/>
      <w:r>
        <w:t xml:space="preserve"> and become aware of “competing definitions for the same things.”</w:t>
      </w:r>
      <w:r>
        <w:rPr>
          <w:vertAlign w:val="superscript"/>
        </w:rPr>
        <w:t>2</w:t>
      </w:r>
    </w:p>
    <w:p w14:paraId="70EEEC3C" w14:textId="77777777" w:rsidR="00076776" w:rsidRDefault="00000000">
      <w:r>
        <w:t xml:space="preserve">303 </w:t>
      </w:r>
      <w:proofErr w:type="gramStart"/>
      <w:r>
        <w:rPr>
          <w:b/>
        </w:rPr>
        <w:t>economy</w:t>
      </w:r>
      <w:proofErr w:type="gramEnd"/>
      <w:r>
        <w:t xml:space="preserve">: Another word that needs to be dialogized is “economy.” … If we move the liberal-capitalist notion of economy off centre stage and understand it as a particular socially and culturally constructed category that privileges the autonomy of the individual, disinterested </w:t>
      </w:r>
      <w:r>
        <w:lastRenderedPageBreak/>
        <w:t>exchange relationships, male labour, objective remuneration, and a distinctly Protestant work ethic, we make room to see different, and equally valid, alternatives.</w:t>
      </w:r>
    </w:p>
    <w:p w14:paraId="18E9B522" w14:textId="77777777" w:rsidR="00076776" w:rsidRDefault="00000000">
      <w:r>
        <w:rPr>
          <w:highlight w:val="green"/>
        </w:rPr>
        <w:t xml:space="preserve">307 </w:t>
      </w:r>
      <w:r>
        <w:rPr>
          <w:b/>
          <w:highlight w:val="green"/>
        </w:rPr>
        <w:t>subordinated vs. subjugated</w:t>
      </w:r>
      <w:r>
        <w:t xml:space="preserve">: [@Arg@FFessay] … subordinated to the immigrant state through the regimes of wage work, missionization, education, and supervision but – and the terminology is important here – they were not subjugated. “To subordinate” derives from “ordain: to put and keep in order, to regulate, govern, direct, manage, and conduct.” Ordain has another meaning: to raise up and bring into a religious order, where one’s will </w:t>
      </w:r>
      <w:proofErr w:type="gramStart"/>
      <w:r>
        <w:t>comes</w:t>
      </w:r>
      <w:proofErr w:type="gramEnd"/>
      <w:r>
        <w:t xml:space="preserve"> second to that of the order. The stated goal of the Canadian relationship to its indigenous peoples combined both senses of the term “subordinate.” // “Subjugation,” on the other hand, means “to bring under the yoke of.” The history of aboriginal/non-aboriginal relations shows that, while this was the realpolitik side of the loftier pronouncements regarding the inclusion of Aboriginal Peoples, the state has failed to harness them to the plough.</w:t>
      </w:r>
    </w:p>
    <w:p w14:paraId="58D68C14" w14:textId="77777777" w:rsidR="00076776" w:rsidRDefault="00076776"/>
    <w:p w14:paraId="39C8B3FB" w14:textId="77777777" w:rsidR="00076776" w:rsidRDefault="00000000">
      <w:pPr>
        <w:pStyle w:val="Heading2"/>
      </w:pPr>
      <w:r>
        <w:t>Core quotes</w:t>
      </w:r>
    </w:p>
    <w:p w14:paraId="63AD806B" w14:textId="77777777" w:rsidR="00076776" w:rsidRDefault="00000000">
      <w:pPr>
        <w:pStyle w:val="Heading4"/>
      </w:pPr>
      <w:r>
        <w:t>Introduction</w:t>
      </w:r>
    </w:p>
    <w:p w14:paraId="122479B7" w14:textId="77777777" w:rsidR="00076776" w:rsidRDefault="00076776"/>
    <w:p w14:paraId="1C5E2A17" w14:textId="77777777" w:rsidR="00076776" w:rsidRDefault="00000000">
      <w:r>
        <w:t>7 @SpacePlace@</w:t>
      </w:r>
      <w:proofErr w:type="gramStart"/>
      <w:r>
        <w:t>L?@</w:t>
      </w:r>
      <w:proofErr w:type="gramEnd"/>
      <w:r>
        <w:t>ISr</w:t>
      </w:r>
    </w:p>
    <w:p w14:paraId="63816834" w14:textId="77777777" w:rsidR="00076776" w:rsidRDefault="00000000">
      <w:pPr>
        <w:ind w:left="720"/>
      </w:pPr>
      <w:r>
        <w:t xml:space="preserve">Historical geographer </w:t>
      </w:r>
      <w:r>
        <w:rPr>
          <w:highlight w:val="magenta"/>
        </w:rPr>
        <w:t>Cole Harris</w:t>
      </w:r>
      <w:r>
        <w:t xml:space="preserve"> reminds us that culture and space are not separate categories. Land only becomes divisible and ownable when labour is applied to survey and fence it.</w:t>
      </w:r>
      <w:r>
        <w:rPr>
          <w:vertAlign w:val="superscript"/>
        </w:rPr>
        <w:t>6</w:t>
      </w:r>
    </w:p>
    <w:p w14:paraId="76878767" w14:textId="77777777" w:rsidR="00076776" w:rsidRDefault="00000000">
      <w:r>
        <w:t xml:space="preserve"> </w:t>
      </w:r>
    </w:p>
    <w:p w14:paraId="48626591" w14:textId="77777777" w:rsidR="00076776" w:rsidRDefault="00000000">
      <w:r>
        <w:t>8 @Arg@SpacePlace@ISr@IR@Para</w:t>
      </w:r>
    </w:p>
    <w:p w14:paraId="01DF3BC7" w14:textId="77777777" w:rsidR="00076776" w:rsidRDefault="00000000">
      <w:pPr>
        <w:ind w:left="720"/>
      </w:pPr>
      <w:r>
        <w:t>The European economy of the eighteenth and nineteenth centuries depended on aboriginal labour. A closer look shows that Aboriginal Peoples never became irrelevant, not even in the twentieth century, not even to the Euro-Canadian immigrants who tried to make them invisible. In fact, the attempt to “vanish the Indians,” ironically, brought them into national visibility. The efforts to marginalize them made them, paradoxically, a central preoccupation of the Canadian state. Aboriginal People were drawn into peaceful exchange and paid-work relationships, and this is important, not least because this made them unwitting participants in the very process that was transforming and displacing their own economies.</w:t>
      </w:r>
    </w:p>
    <w:p w14:paraId="6C04FB6F" w14:textId="77777777" w:rsidR="00076776" w:rsidRDefault="00076776"/>
    <w:p w14:paraId="162ECFBC" w14:textId="77777777" w:rsidR="00076776" w:rsidRDefault="00000000">
      <w:r>
        <w:t>12 @Arg</w:t>
      </w:r>
    </w:p>
    <w:p w14:paraId="1CE413D3" w14:textId="77777777" w:rsidR="00076776" w:rsidRDefault="00000000">
      <w:r>
        <w:t>Key research question…</w:t>
      </w:r>
    </w:p>
    <w:p w14:paraId="74D945CA" w14:textId="77777777" w:rsidR="00076776" w:rsidRDefault="00000000">
      <w:pPr>
        <w:ind w:left="720"/>
      </w:pPr>
      <w:r>
        <w:t>Comparing the Tsilhqot’in history with Straits Salish history answers the question: was accommodation more effective than resistance in dealing with the Europeans?</w:t>
      </w:r>
    </w:p>
    <w:p w14:paraId="4E5742CE" w14:textId="77777777" w:rsidR="00076776" w:rsidRDefault="00076776"/>
    <w:p w14:paraId="04AAAC63" w14:textId="77777777" w:rsidR="00076776" w:rsidRDefault="00000000">
      <w:pPr>
        <w:pStyle w:val="Heading4"/>
      </w:pPr>
      <w:r>
        <w:t>Chapter 2</w:t>
      </w:r>
    </w:p>
    <w:p w14:paraId="22A3F363" w14:textId="77777777" w:rsidR="00076776" w:rsidRDefault="00000000">
      <w:r>
        <w:t>16 @Arg@Acad</w:t>
      </w:r>
    </w:p>
    <w:p w14:paraId="06BCD0E5" w14:textId="77777777" w:rsidR="00076776" w:rsidRDefault="00000000">
      <w:pPr>
        <w:ind w:left="720"/>
      </w:pPr>
      <w:r>
        <w:t xml:space="preserve">I use a simple, </w:t>
      </w:r>
      <w:r>
        <w:rPr>
          <w:b/>
        </w:rPr>
        <w:t>overarching methodology</w:t>
      </w:r>
      <w:r>
        <w:t xml:space="preserve">: dialogue. … The method is “ethnohistorical” in its fullest sense. I put both parties to a historic encounter under the same lens, treating the interpretations of the observer and the observed as equally factual and equally </w:t>
      </w:r>
      <w:proofErr w:type="spellStart"/>
      <w:r>
        <w:t>mytho</w:t>
      </w:r>
      <w:proofErr w:type="spellEnd"/>
      <w:r>
        <w:t>-historical. (We are all somebody else’s “</w:t>
      </w:r>
      <w:proofErr w:type="spellStart"/>
      <w:r>
        <w:t>ethno</w:t>
      </w:r>
      <w:proofErr w:type="spellEnd"/>
      <w:r>
        <w:t>,” after all.) This “expanded ethnohistory” uses the traditional qualitative methods of the ethnohistorian, including interviewing and archival research, and quantitative methods including statistics.</w:t>
      </w:r>
    </w:p>
    <w:p w14:paraId="14A68FF3" w14:textId="77777777" w:rsidR="00076776" w:rsidRDefault="00076776"/>
    <w:p w14:paraId="54ED1DF1" w14:textId="77777777" w:rsidR="00076776" w:rsidRDefault="00000000">
      <w:pPr>
        <w:rPr>
          <w:highlight w:val="green"/>
        </w:rPr>
      </w:pPr>
      <w:r>
        <w:rPr>
          <w:highlight w:val="green"/>
        </w:rPr>
        <w:t>19 @KTerm@</w:t>
      </w:r>
      <w:proofErr w:type="gramStart"/>
      <w:r>
        <w:rPr>
          <w:highlight w:val="green"/>
        </w:rPr>
        <w:t>Diss?@</w:t>
      </w:r>
      <w:proofErr w:type="gramEnd"/>
      <w:r>
        <w:rPr>
          <w:highlight w:val="green"/>
        </w:rPr>
        <w:t>FFessay@ISr@SettState</w:t>
      </w:r>
    </w:p>
    <w:p w14:paraId="27A27707" w14:textId="77777777" w:rsidR="00076776" w:rsidRDefault="00000000">
      <w:r>
        <w:t>Add this to the definition for “</w:t>
      </w:r>
      <w:proofErr w:type="spellStart"/>
      <w:r>
        <w:t>synopticon</w:t>
      </w:r>
      <w:proofErr w:type="spellEnd"/>
      <w:r>
        <w:t xml:space="preserve">,” as the Indian Agents were the eyes of surveillance: </w:t>
      </w:r>
    </w:p>
    <w:p w14:paraId="1EBCFE2B" w14:textId="77777777" w:rsidR="00076776" w:rsidRDefault="00000000">
      <w:pPr>
        <w:ind w:left="720"/>
      </w:pPr>
      <w:r>
        <w:t xml:space="preserve">The following year federal Indian Agents were appointed in BC, and by 1882 they </w:t>
      </w:r>
      <w:proofErr w:type="gramStart"/>
      <w:r>
        <w:t>were located in</w:t>
      </w:r>
      <w:proofErr w:type="gramEnd"/>
      <w:r>
        <w:t xml:space="preserve"> agencies around the south of the province with the specific mandate to report on the “progress” of Indians. Agents made annual reports on the main activities of the Indians in their agencies, and these constitute some of the most de- tailed renderings of aboriginal work that have survived. Heavily laden with moralizing judgments, the early reports of the agents were candid assessments of which Indians were “good” (i.e., working and self-supporting), “some good,” or “no good” (i.e., prone to </w:t>
      </w:r>
      <w:proofErr w:type="spellStart"/>
      <w:r>
        <w:t>potlatching</w:t>
      </w:r>
      <w:proofErr w:type="spellEnd"/>
      <w:r>
        <w:t xml:space="preserve"> but little interested in paid work). [21] </w:t>
      </w:r>
      <w:r>
        <w:rPr>
          <w:b/>
        </w:rPr>
        <w:t>Since then, no segment of the Canadian population</w:t>
      </w:r>
      <w:r>
        <w:t xml:space="preserve">, </w:t>
      </w:r>
      <w:r>
        <w:rPr>
          <w:b/>
        </w:rPr>
        <w:t>outside of hospitals, mental institutions, and prisons, has been monitored and reported upon to the same degree as have Aboriginal People</w:t>
      </w:r>
      <w:r>
        <w:t>.</w:t>
      </w:r>
    </w:p>
    <w:p w14:paraId="536F7B0E" w14:textId="77777777" w:rsidR="00076776" w:rsidRDefault="00076776"/>
    <w:p w14:paraId="76D0B434" w14:textId="77777777" w:rsidR="00076776" w:rsidRDefault="00000000">
      <w:r>
        <w:t>22 @ISr@Hist@IndHist@Other</w:t>
      </w:r>
    </w:p>
    <w:p w14:paraId="3F9E3337" w14:textId="77777777" w:rsidR="00076776" w:rsidRDefault="00000000">
      <w:pPr>
        <w:ind w:left="720"/>
      </w:pPr>
      <w:r>
        <w:t>To say that Aboriginal Peoples engaged in a dialogue with Europeans does not suggest that both parties had the same power to shape that dialogue. Indeed, the power imbalances in that dialogue, expressed through wage work and welfare as well as in many other ways, were precisely what accounts for the dispossession/subordination of Aboriginal Peoples.</w:t>
      </w:r>
    </w:p>
    <w:p w14:paraId="331F9647" w14:textId="77777777" w:rsidR="00076776" w:rsidRDefault="00076776"/>
    <w:p w14:paraId="5DD4FEB4" w14:textId="77777777" w:rsidR="00076776" w:rsidRDefault="00000000">
      <w:r>
        <w:t xml:space="preserve">22 </w:t>
      </w:r>
    </w:p>
    <w:p w14:paraId="4F3C2238" w14:textId="77777777" w:rsidR="00076776" w:rsidRDefault="00000000">
      <w:r>
        <w:t>The capitalist workplace was not just a place, it was the embodiment of a social system based on private property, individualism, rationalism, subordination, and discipline. When Aboriginal People engaged in work-for-pay they joined a dynamic process in which livelihoods were and are constantly being trans- formed and reorganized according to how the changing needs of capital interacted with culture.</w:t>
      </w:r>
    </w:p>
    <w:p w14:paraId="50F9AE96" w14:textId="77777777" w:rsidR="00076776" w:rsidRDefault="00076776"/>
    <w:p w14:paraId="15AB8E15" w14:textId="77777777" w:rsidR="00076776" w:rsidRDefault="00000000">
      <w:r>
        <w:t>27 @ISr@CultApp@Acad</w:t>
      </w:r>
    </w:p>
    <w:p w14:paraId="71766A15" w14:textId="77777777" w:rsidR="00076776" w:rsidRDefault="00000000">
      <w:pPr>
        <w:ind w:left="720"/>
      </w:pPr>
      <w:r>
        <w:t xml:space="preserve">Even if “going native” were possible, it would be misguided because the ultimate scholarly goal is not only empathy but understanding. Understanding requires a platform that exists outside (or at least partially outside) a culture and that enables one to view it as a social rather than as a natural construct. That enables us to compare it with other cultures. If we do not have a critical distance from our own language and culture, our own historical and mythic consciousness, we cannot begin to understand how we are determined by it: difference itself becomes negative and other cultures inferior. Only the insider-outsider, or the outsider-insider, has the possibility of turning the ethnographic lens on both sides of a dialogue. // </w:t>
      </w:r>
      <w:proofErr w:type="gramStart"/>
      <w:r>
        <w:t>So</w:t>
      </w:r>
      <w:proofErr w:type="gramEnd"/>
      <w:r>
        <w:t xml:space="preserve"> there is a double challenge: how to become enough of an insider to have a partial understanding of the other side of the dialogue and enough of an outsider to have a partial understanding of one’s own side of the dialogue. This place, which </w:t>
      </w:r>
      <w:r>
        <w:rPr>
          <w:highlight w:val="magenta"/>
        </w:rPr>
        <w:t>Bakhtin</w:t>
      </w:r>
      <w:r>
        <w:t xml:space="preserve"> refers to as “</w:t>
      </w:r>
      <w:proofErr w:type="spellStart"/>
      <w:r>
        <w:rPr>
          <w:b/>
        </w:rPr>
        <w:t>exotopy</w:t>
      </w:r>
      <w:proofErr w:type="spellEnd"/>
      <w:r>
        <w:t xml:space="preserve">,” “does not renounce </w:t>
      </w:r>
      <w:proofErr w:type="gramStart"/>
      <w:r>
        <w:t>its self</w:t>
      </w:r>
      <w:proofErr w:type="gramEnd"/>
      <w:r>
        <w:t>, its place in time [or] its culture” in relation to that which we are trying to understand. In other words, a self-aware positioning in one culture (be it ethnic or academic) is necessary if one is to engage in effective conversation with another.</w:t>
      </w:r>
    </w:p>
    <w:p w14:paraId="66D09925" w14:textId="77777777" w:rsidR="00076776" w:rsidRDefault="00076776"/>
    <w:p w14:paraId="6B900179" w14:textId="77777777" w:rsidR="00076776" w:rsidRDefault="00000000">
      <w:r>
        <w:rPr>
          <w:b/>
        </w:rPr>
        <w:t>See note in Chapter 1 in the lopsided toponyms argument you’re making</w:t>
      </w:r>
      <w:r>
        <w:t>.</w:t>
      </w:r>
    </w:p>
    <w:p w14:paraId="0E95616B" w14:textId="77777777" w:rsidR="00076776" w:rsidRDefault="00076776"/>
    <w:p w14:paraId="13C6ECE9" w14:textId="77777777" w:rsidR="00076776" w:rsidRDefault="00000000">
      <w:pPr>
        <w:pStyle w:val="Heading4"/>
      </w:pPr>
      <w:r>
        <w:t xml:space="preserve">Chapter 9: Conclusion </w:t>
      </w:r>
    </w:p>
    <w:p w14:paraId="517B7279" w14:textId="77777777" w:rsidR="00076776" w:rsidRDefault="00000000">
      <w:r>
        <w:t>275 @</w:t>
      </w:r>
      <w:proofErr w:type="gramStart"/>
      <w:r>
        <w:t>L?@</w:t>
      </w:r>
      <w:proofErr w:type="gramEnd"/>
      <w:r>
        <w:t>SettSate</w:t>
      </w:r>
    </w:p>
    <w:p w14:paraId="07E35EE8" w14:textId="77777777" w:rsidR="00076776" w:rsidRDefault="00000000">
      <w:pPr>
        <w:ind w:left="720"/>
      </w:pPr>
      <w:r>
        <w:t xml:space="preserve">When the Europeans first arrived on the west coast of what became Canada, Aboriginal Peoples owned the entire territory, a sovereignty that has never been acquired by the nation-state. </w:t>
      </w:r>
      <w:r>
        <w:rPr>
          <w:vertAlign w:val="superscript"/>
        </w:rPr>
        <w:t>1</w:t>
      </w:r>
    </w:p>
    <w:p w14:paraId="38BCA0AE" w14:textId="77777777" w:rsidR="00076776" w:rsidRDefault="00076776"/>
    <w:p w14:paraId="376D081B" w14:textId="77777777" w:rsidR="00076776" w:rsidRDefault="00000000">
      <w:pPr>
        <w:rPr>
          <w:highlight w:val="green"/>
        </w:rPr>
      </w:pPr>
      <w:r>
        <w:rPr>
          <w:highlight w:val="green"/>
        </w:rPr>
        <w:t>279 @</w:t>
      </w:r>
      <w:proofErr w:type="gramStart"/>
      <w:r>
        <w:rPr>
          <w:highlight w:val="green"/>
        </w:rPr>
        <w:t>Link:Smith</w:t>
      </w:r>
      <w:proofErr w:type="gramEnd"/>
      <w:r>
        <w:rPr>
          <w:highlight w:val="green"/>
        </w:rPr>
        <w:t>@Map@Acad@Erase@IndHist@Dual@Arg</w:t>
      </w:r>
    </w:p>
    <w:p w14:paraId="6CDCC5ED" w14:textId="77777777" w:rsidR="00076776" w:rsidRDefault="00000000">
      <w:pPr>
        <w:ind w:left="720"/>
      </w:pPr>
      <w:r>
        <w:t xml:space="preserve">Non-aboriginal historians, how- ever, have accomplished what disease, violence, and social disruption could not: by basing history on the impressions of immigrant groups, we have made Aboriginal People “disappear.” // Aboriginal writers have also contributed to a misleading periodization. As </w:t>
      </w:r>
      <w:proofErr w:type="spellStart"/>
      <w:r>
        <w:t>Maori</w:t>
      </w:r>
      <w:proofErr w:type="spellEnd"/>
      <w:r>
        <w:t xml:space="preserve"> Linda </w:t>
      </w:r>
      <w:proofErr w:type="spellStart"/>
      <w:r>
        <w:t>Tuhwai</w:t>
      </w:r>
      <w:proofErr w:type="spellEnd"/>
      <w:r>
        <w:t xml:space="preserve"> Smith notes, in writing against colonial writing there has been a tendency to idealize the precontact past and to miss the links between indigenous cultures and the history of colonialism. Aboriginal scholars, she says, have too easily accepted the binary of colonized/colonizer, without looking at the </w:t>
      </w:r>
      <w:proofErr w:type="spellStart"/>
      <w:r>
        <w:t>layerings</w:t>
      </w:r>
      <w:proofErr w:type="spellEnd"/>
      <w:r>
        <w:t xml:space="preserve"> and internal contradictions on both sides.</w:t>
      </w:r>
    </w:p>
    <w:p w14:paraId="6CA2184B" w14:textId="77777777" w:rsidR="00076776" w:rsidRDefault="00000000">
      <w:r>
        <w:t xml:space="preserve">@K? Could maps be implicated in this erasure? If so, how? </w:t>
      </w:r>
    </w:p>
    <w:p w14:paraId="218AF78C" w14:textId="77777777" w:rsidR="00076776" w:rsidRDefault="00076776"/>
    <w:p w14:paraId="6B478AE7" w14:textId="77777777" w:rsidR="00076776" w:rsidRDefault="00000000">
      <w:r>
        <w:t>296 @Uncanny@ISr@IndHist@Hist@SettPsych@Diss@FFessay</w:t>
      </w:r>
    </w:p>
    <w:p w14:paraId="32A89FFA" w14:textId="77777777" w:rsidR="00076776" w:rsidRDefault="00000000">
      <w:pPr>
        <w:ind w:left="720"/>
      </w:pPr>
      <w:r>
        <w:t>Canadians are haunted by the unfinished business of colonization and a collective guilt</w:t>
      </w:r>
    </w:p>
    <w:p w14:paraId="0A0E0E6B" w14:textId="77777777" w:rsidR="00076776" w:rsidRDefault="00000000">
      <w:pPr>
        <w:ind w:left="720"/>
      </w:pPr>
      <w:r>
        <w:t>over historic injustices and our contemporary relationships with Aboriginal Peoples.</w:t>
      </w:r>
      <w:r>
        <w:rPr>
          <w:vertAlign w:val="superscript"/>
        </w:rPr>
        <w:t>30</w:t>
      </w:r>
    </w:p>
    <w:p w14:paraId="584BD51E" w14:textId="77777777" w:rsidR="00076776" w:rsidRDefault="00076776"/>
    <w:p w14:paraId="703BCD37" w14:textId="77777777" w:rsidR="00076776" w:rsidRDefault="00000000">
      <w:r>
        <w:t>297 @Arg@L?</w:t>
      </w:r>
    </w:p>
    <w:p w14:paraId="413CB7B5" w14:textId="77777777" w:rsidR="00076776" w:rsidRDefault="00000000">
      <w:pPr>
        <w:ind w:left="720"/>
      </w:pPr>
      <w:r>
        <w:t xml:space="preserve">The state has placed them at the centre of a vast bureaucracy, first, to </w:t>
      </w:r>
      <w:proofErr w:type="gramStart"/>
      <w:r>
        <w:t>effect</w:t>
      </w:r>
      <w:proofErr w:type="gramEnd"/>
      <w:r>
        <w:t xml:space="preserve"> the trans- fer of their land to other Canadians. The country’s very legitimacy, or lack of it, depends on the justice of that transfer and now to revitalize the abo- </w:t>
      </w:r>
      <w:proofErr w:type="spellStart"/>
      <w:r>
        <w:t>riginal</w:t>
      </w:r>
      <w:proofErr w:type="spellEnd"/>
      <w:r>
        <w:t xml:space="preserve"> economies it has so effectively handicapped. This book starts by asking about the “Indian problem” and concludes by identifying “</w:t>
      </w:r>
      <w:r>
        <w:rPr>
          <w:b/>
        </w:rPr>
        <w:t>the white problem</w:t>
      </w:r>
      <w:r>
        <w:t xml:space="preserve">.” Having removed Aboriginal Peoples from their resource base, labelled them “lazy” or difficult employees, and relegated many of them to the bottom of the occupational scale, our treatment of them has become a standard by which, as Canadians, we measure ourselves. The poverty and attendant social problems on aboriginal reserves </w:t>
      </w:r>
      <w:proofErr w:type="gramStart"/>
      <w:r>
        <w:t>has</w:t>
      </w:r>
      <w:proofErr w:type="gramEnd"/>
      <w:r>
        <w:t xml:space="preserve"> been an international embarrassment for this country for over a century. It is repeatedly brought up by the press as a national scandal, a sobering reminder to Canadians who like to think of themselves as a “generous people” living in a “just society.”</w:t>
      </w:r>
      <w:r>
        <w:rPr>
          <w:vertAlign w:val="superscript"/>
        </w:rPr>
        <w:t>31</w:t>
      </w:r>
    </w:p>
    <w:p w14:paraId="516076D7" w14:textId="77777777" w:rsidR="00076776" w:rsidRDefault="00076776"/>
    <w:p w14:paraId="7CBBF902" w14:textId="77777777" w:rsidR="00076776" w:rsidRDefault="00000000">
      <w:pPr>
        <w:rPr>
          <w:highlight w:val="green"/>
        </w:rPr>
      </w:pPr>
      <w:r>
        <w:rPr>
          <w:highlight w:val="green"/>
        </w:rPr>
        <w:t>297 @Topo@Map@</w:t>
      </w:r>
      <w:proofErr w:type="gramStart"/>
      <w:r>
        <w:rPr>
          <w:highlight w:val="green"/>
        </w:rPr>
        <w:t>Motherlode!@</w:t>
      </w:r>
      <w:proofErr w:type="gramEnd"/>
      <w:r>
        <w:rPr>
          <w:highlight w:val="green"/>
        </w:rPr>
        <w:t>FFessay@Diss?</w:t>
      </w:r>
    </w:p>
    <w:p w14:paraId="524CB8F0" w14:textId="77777777" w:rsidR="00076776" w:rsidRDefault="00000000">
      <w:pPr>
        <w:ind w:left="720"/>
      </w:pPr>
      <w:r>
        <w:t xml:space="preserve">Linguists can discern a distinctive regional dialect in British Columbia and the Pacific Northwest in the use of Chinook words. </w:t>
      </w:r>
      <w:r>
        <w:rPr>
          <w:b/>
        </w:rPr>
        <w:t xml:space="preserve">From </w:t>
      </w:r>
      <w:proofErr w:type="spellStart"/>
      <w:r>
        <w:rPr>
          <w:b/>
        </w:rPr>
        <w:t>Siwash</w:t>
      </w:r>
      <w:proofErr w:type="spellEnd"/>
      <w:r>
        <w:rPr>
          <w:b/>
        </w:rPr>
        <w:t xml:space="preserve"> Rock at the entrance to Vancouver Harbour to Wawa Creek in Haida Gwaii, the jargon (</w:t>
      </w:r>
      <w:r>
        <w:rPr>
          <w:b/>
          <w:i/>
        </w:rPr>
        <w:t>wawa</w:t>
      </w:r>
      <w:r>
        <w:rPr>
          <w:b/>
        </w:rPr>
        <w:t>) is also inscribed on our landscape: hundreds of lakes, rivers, and mountains are named in that language. Chinook jargon is part of a regional identity that is neither fully Aboriginal nor fully European.</w:t>
      </w:r>
    </w:p>
    <w:p w14:paraId="645FA8BA" w14:textId="77777777" w:rsidR="00076776" w:rsidRDefault="00076776">
      <w:pPr>
        <w:rPr>
          <w:b/>
        </w:rPr>
      </w:pPr>
    </w:p>
    <w:p w14:paraId="44D8C3BB" w14:textId="77777777" w:rsidR="00076776" w:rsidRDefault="00000000">
      <w:r>
        <w:lastRenderedPageBreak/>
        <w:t xml:space="preserve">Liminal toponyms: a cartographic investigation? Are these words really in the liminal namespace, or are they evidence of Anglicization? See the </w:t>
      </w:r>
      <w:hyperlink w:anchor="_heading=h.3l18frh">
        <w:r w:rsidR="00076776">
          <w:rPr>
            <w:color w:val="0563C1"/>
            <w:u w:val="single"/>
          </w:rPr>
          <w:t>Enframement of Maps section</w:t>
        </w:r>
      </w:hyperlink>
      <w:r>
        <w:t xml:space="preserve"> for more on this. </w:t>
      </w:r>
    </w:p>
    <w:p w14:paraId="4AD9C6CF" w14:textId="77777777" w:rsidR="00076776" w:rsidRDefault="00076776"/>
    <w:p w14:paraId="1FACBFEE" w14:textId="77777777" w:rsidR="00076776" w:rsidRDefault="00000000">
      <w:pPr>
        <w:pStyle w:val="Heading4"/>
      </w:pPr>
      <w:r>
        <w:t>Postscript: Subordination Without Subjugation</w:t>
      </w:r>
    </w:p>
    <w:p w14:paraId="414BC0F0" w14:textId="77777777" w:rsidR="00076776" w:rsidRDefault="00076776"/>
    <w:p w14:paraId="123588DD" w14:textId="77777777" w:rsidR="00076776" w:rsidRDefault="00000000">
      <w:pPr>
        <w:rPr>
          <w:highlight w:val="green"/>
        </w:rPr>
      </w:pPr>
      <w:r>
        <w:rPr>
          <w:highlight w:val="green"/>
        </w:rPr>
        <w:t>301 @</w:t>
      </w:r>
      <w:proofErr w:type="gramStart"/>
      <w:r>
        <w:rPr>
          <w:highlight w:val="green"/>
        </w:rPr>
        <w:t>Link:Bhaktin</w:t>
      </w:r>
      <w:proofErr w:type="gramEnd"/>
      <w:r>
        <w:rPr>
          <w:highlight w:val="green"/>
        </w:rPr>
        <w:t>@Hybrid@FFessay</w:t>
      </w:r>
    </w:p>
    <w:p w14:paraId="2AD03950" w14:textId="77777777" w:rsidR="00076776" w:rsidRDefault="00000000">
      <w:r>
        <w:t xml:space="preserve">Added to </w:t>
      </w:r>
      <w:hyperlink w:anchor="_heading=h.3l18frh">
        <w:r w:rsidR="00076776">
          <w:rPr>
            <w:color w:val="0563C1"/>
            <w:u w:val="single"/>
          </w:rPr>
          <w:t>Enframement of Maps section</w:t>
        </w:r>
      </w:hyperlink>
      <w:r>
        <w:t xml:space="preserve">. </w:t>
      </w:r>
    </w:p>
    <w:p w14:paraId="1133804A" w14:textId="77777777" w:rsidR="00076776" w:rsidRDefault="00000000">
      <w:pPr>
        <w:ind w:left="720"/>
      </w:pPr>
      <w:r>
        <w:rPr>
          <w:b/>
        </w:rPr>
        <w:t xml:space="preserve">Mikhail Bakhtin’s concept of dialogism, and Chinook jargon is an elaborate expression of dialogism. The jargon is an intentional hybrid language built by both sides of an exchange, the point being to </w:t>
      </w:r>
      <w:proofErr w:type="gramStart"/>
      <w:r>
        <w:rPr>
          <w:b/>
        </w:rPr>
        <w:t>enter into</w:t>
      </w:r>
      <w:proofErr w:type="gramEnd"/>
      <w:r>
        <w:rPr>
          <w:b/>
        </w:rPr>
        <w:t xml:space="preserve"> the worldview of another </w:t>
      </w:r>
      <w:proofErr w:type="gramStart"/>
      <w:r>
        <w:rPr>
          <w:b/>
        </w:rPr>
        <w:t>in order to</w:t>
      </w:r>
      <w:proofErr w:type="gramEnd"/>
      <w:r>
        <w:rPr>
          <w:b/>
        </w:rPr>
        <w:t xml:space="preserve"> be able to communicate with her/him.</w:t>
      </w:r>
      <w:r>
        <w:t xml:space="preserve"> Initially a language of trade, it became a language of work, welfare, law, spirituality, love, loss, and poetry. It was the medium of communication, and, in important respects, </w:t>
      </w:r>
      <w:r>
        <w:rPr>
          <w:highlight w:val="magenta"/>
        </w:rPr>
        <w:t>Marshall McLuhan</w:t>
      </w:r>
      <w:r>
        <w:t xml:space="preserve"> was right: “the medium is the message.” The existence of Chinook jargon and the notion of dialogism help us wrest the historical focus from the white explorer, trader, missionary, and entrepreneur, where it has largely rested, to the interaction between aboriginals and newcomers.</w:t>
      </w:r>
    </w:p>
    <w:p w14:paraId="7FCD62A2" w14:textId="77777777" w:rsidR="00076776" w:rsidRDefault="00076776"/>
    <w:p w14:paraId="054DD332" w14:textId="77777777" w:rsidR="00076776" w:rsidRDefault="00000000">
      <w:pPr>
        <w:rPr>
          <w:highlight w:val="green"/>
        </w:rPr>
      </w:pPr>
      <w:r>
        <w:rPr>
          <w:highlight w:val="green"/>
        </w:rPr>
        <w:t>305 @Captial@Ident@ISr@Arg</w:t>
      </w:r>
    </w:p>
    <w:p w14:paraId="15ABDFB0" w14:textId="77777777" w:rsidR="00076776" w:rsidRDefault="00000000">
      <w:r>
        <w:t xml:space="preserve">Key argument in the book: </w:t>
      </w:r>
    </w:p>
    <w:p w14:paraId="7DB11117" w14:textId="77777777" w:rsidR="00076776" w:rsidRDefault="00000000">
      <w:pPr>
        <w:ind w:left="720"/>
      </w:pPr>
      <w:r>
        <w:t xml:space="preserve">One key feature that sets Aboriginal People apart in Canada concerns the fact that they have always had a non-capitalist alternative: the subsistence and prestige economies and, in the past five decades, the welfare economy. … Another part of the paradox is that, when Aboriginal People do enter the capitalist economy, they are judged to be “inauthentic,” assimilated, “just like white men,” corrupted, and not deserving of any recognition or protection for their alleged distinctiveness. </w:t>
      </w:r>
      <w:r>
        <w:rPr>
          <w:b/>
        </w:rPr>
        <w:t xml:space="preserve">For Aboriginal Peoples it is a lose-lose situation: they are expected to choose between their culture and our economy, but economy </w:t>
      </w:r>
      <w:r>
        <w:rPr>
          <w:b/>
          <w:i/>
        </w:rPr>
        <w:t>is</w:t>
      </w:r>
      <w:r>
        <w:rPr>
          <w:b/>
        </w:rPr>
        <w:t xml:space="preserve"> culture</w:t>
      </w:r>
      <w:r>
        <w:t>.</w:t>
      </w:r>
    </w:p>
    <w:p w14:paraId="0CE99B5E" w14:textId="77777777" w:rsidR="00076776" w:rsidRDefault="00076776"/>
    <w:p w14:paraId="78FA09EF" w14:textId="77777777" w:rsidR="00076776" w:rsidRDefault="00000000">
      <w:r>
        <w:t>306 @FFessay@LitThe</w:t>
      </w:r>
    </w:p>
    <w:p w14:paraId="2B5C1D25" w14:textId="77777777" w:rsidR="00076776" w:rsidRDefault="00000000">
      <w:pPr>
        <w:ind w:left="720"/>
      </w:pPr>
      <w:r>
        <w:t xml:space="preserve">Dialogue is an imprecise art. We know from the vast postmodern literature that the words that are spoken are not necessarily the words that are </w:t>
      </w:r>
      <w:proofErr w:type="gramStart"/>
      <w:r>
        <w:t>heard,</w:t>
      </w:r>
      <w:proofErr w:type="gramEnd"/>
      <w:r>
        <w:t xml:space="preserve"> that each of us will understand the same words (the connotations, the intonation, the stresses) in our own way. But dialogue is not random. Most of our daily conversations are not idle ramblings but purposive acts.</w:t>
      </w:r>
    </w:p>
    <w:p w14:paraId="07D6EFEF" w14:textId="77777777" w:rsidR="00076776" w:rsidRDefault="00076776"/>
    <w:p w14:paraId="5BBF4EFB" w14:textId="77777777" w:rsidR="00076776" w:rsidRDefault="00000000">
      <w:r>
        <w:t>307-08 @Hegem@ISr@IR</w:t>
      </w:r>
    </w:p>
    <w:p w14:paraId="5545E500" w14:textId="77777777" w:rsidR="00076776" w:rsidRDefault="00000000">
      <w:pPr>
        <w:ind w:left="720"/>
      </w:pPr>
      <w:r>
        <w:t xml:space="preserve">The confusion of dominance with hegemony, and the confusion of hegemony with collaboration, is widespread in the literature, but these terms are not synonymous. Aboriginal Peoples have been subordinated but not subjugated. As Ranajit Guha puts it, the state has achieved dominance without hegemony. … So long as we keep the silence, so long as we continue to “vanish,” or, in literary scholar Renée Bergland’s, words, “ghost” Indians, we will continue to be doomed to revisit the site of our haunting – the history of aboriginal/non-aboriginal encounters – </w:t>
      </w:r>
      <w:proofErr w:type="gramStart"/>
      <w:r>
        <w:t>over and over again</w:t>
      </w:r>
      <w:proofErr w:type="gramEnd"/>
      <w:r>
        <w:t>. The creation and the perpetuation of this haunted national space are proof, she says, of the existence of the “unsuccessfully colonized.”</w:t>
      </w:r>
      <w:r>
        <w:rPr>
          <w:vertAlign w:val="superscript"/>
        </w:rPr>
        <w:t>10</w:t>
      </w:r>
    </w:p>
    <w:p w14:paraId="756F0777" w14:textId="77777777" w:rsidR="00076776" w:rsidRDefault="00076776">
      <w:pPr>
        <w:ind w:left="720"/>
      </w:pPr>
    </w:p>
    <w:p w14:paraId="3F7E5199" w14:textId="77777777" w:rsidR="00076776" w:rsidRDefault="00000000">
      <w:pPr>
        <w:pStyle w:val="Heading2"/>
      </w:pPr>
      <w:r>
        <w:t>Secondary quotes</w:t>
      </w:r>
    </w:p>
    <w:p w14:paraId="6C0D2DAD" w14:textId="77777777" w:rsidR="00076776" w:rsidRDefault="00000000">
      <w:r>
        <w:t xml:space="preserve">4 In conversation with each other, we now use the same language. Or do we? As we come to grips with major issues of the day – racism, aboriginal title, self-government, treaties, reserve poverty, the legacy of residential schools – are we really engaged in the same conversation with the same points of reference? The gap in communication is more subtle than it was in 1862 and, consequently, more difficult to see. / 6-7 </w:t>
      </w:r>
      <w:r>
        <w:rPr>
          <w:highlight w:val="magenta"/>
        </w:rPr>
        <w:t>John Locke</w:t>
      </w:r>
      <w:r>
        <w:t>: “Whatsoever, then, he removes out of a state that nature hath provided and left it in, he hath mixed his labour with ... [he] thereby makes it his property.” The argument was that the fishing, hunting, gathering, building, and even farming that Aboriginal Peoples did was not labour – at least not in a way that met the definition of classical economics. Such efforts did not sufficiently remove items from their “state of nature.”</w:t>
      </w:r>
      <w:r>
        <w:rPr>
          <w:vertAlign w:val="superscript"/>
        </w:rPr>
        <w:t>5</w:t>
      </w:r>
      <w:r>
        <w:t xml:space="preserve"> / 8 The same Psalm 72, from which the name “Dominion” for the Dominion of Canada was taken, also says that those who do not bow down before Him shall “lick the dust.”</w:t>
      </w:r>
      <w:r>
        <w:rPr>
          <w:vertAlign w:val="superscript"/>
        </w:rPr>
        <w:t>9</w:t>
      </w:r>
      <w:r>
        <w:t xml:space="preserve"> / BC Chief Justice </w:t>
      </w:r>
      <w:r>
        <w:rPr>
          <w:highlight w:val="magenta"/>
        </w:rPr>
        <w:t>Allan McEachern</w:t>
      </w:r>
      <w:r>
        <w:t xml:space="preserve"> / 10 </w:t>
      </w:r>
      <w:r>
        <w:rPr>
          <w:b/>
        </w:rPr>
        <w:t>logbook quote from Captain George Vancouver</w:t>
      </w:r>
      <w:r>
        <w:t xml:space="preserve"> and </w:t>
      </w:r>
      <w:r>
        <w:rPr>
          <w:highlight w:val="magenta"/>
        </w:rPr>
        <w:t>August Jack Khahtsahlano</w:t>
      </w:r>
      <w:r>
        <w:t xml:space="preserve">’s account on p. 11 … </w:t>
      </w:r>
      <w:r>
        <w:rPr>
          <w:b/>
        </w:rPr>
        <w:t>the conflicting realities represented in the accounts – realities rooted in radically different cultural premises</w:t>
      </w:r>
      <w:r>
        <w:t xml:space="preserve">. … What had been food to the Europeans became targets and ointment to the locals. / 11 This book is also a deliberate attempt to be part of a broader dialogue between Aboriginal and non-Aboriginal Canadians. / 16 The binaries of the “unmoving history” of the structuralists and the discontinuity of the ethnographer, the “unitary explanation” offered by the modernist and the “complex, multi- layered variability” cited by the postmodernist, fold in on one another. One describes structure, the other agency. Neither exists without the other. / 17 …  the </w:t>
      </w:r>
      <w:r>
        <w:rPr>
          <w:b/>
        </w:rPr>
        <w:t>daily diary of</w:t>
      </w:r>
      <w:r>
        <w:t xml:space="preserve"> </w:t>
      </w:r>
      <w:r>
        <w:rPr>
          <w:highlight w:val="magenta"/>
        </w:rPr>
        <w:t>Arthur Wellington Clah (</w:t>
      </w:r>
      <w:proofErr w:type="spellStart"/>
      <w:r>
        <w:rPr>
          <w:highlight w:val="magenta"/>
        </w:rPr>
        <w:t>T’amks</w:t>
      </w:r>
      <w:proofErr w:type="spellEnd"/>
      <w:r>
        <w:rPr>
          <w:highlight w:val="magenta"/>
        </w:rPr>
        <w:t>)</w:t>
      </w:r>
      <w:r>
        <w:t xml:space="preserve">, which he kept from 1860 to 1910, which survives at the </w:t>
      </w:r>
      <w:proofErr w:type="spellStart"/>
      <w:r>
        <w:t>Wellcome</w:t>
      </w:r>
      <w:proofErr w:type="spellEnd"/>
      <w:r>
        <w:t xml:space="preserve"> Institute in London. / An example of the pitfalls of using these sources uncritically may be found in the much-reproduced speeches attributed to </w:t>
      </w:r>
      <w:proofErr w:type="spellStart"/>
      <w:r>
        <w:t>Dumawamish</w:t>
      </w:r>
      <w:proofErr w:type="spellEnd"/>
      <w:r>
        <w:t xml:space="preserve"> Chief Seattle, which, upon closer examination, have been revealed to be the largely fictitious renderings of a local newspaper editor. / Franz Boas / 18 @Irony Ironically, </w:t>
      </w:r>
      <w:r>
        <w:rPr>
          <w:b/>
        </w:rPr>
        <w:t>anthropologists</w:t>
      </w:r>
      <w:r>
        <w:t xml:space="preserve"> ignored contemporary labour as they fetishized the embodied labour found in historical artefacts. In their own way, anthropologists too have “vanished” Indians and contributed to the stereotypes that exist around Aboriginal People and work. / Hudson’s Bay Company fort journals / 20 At the same time other government agencies were collecting information on Aboriginal People, with goals that were different, even contradictory, to those of the Department of Indian Affairs. / 21 Michael Harkin has applied the dialogic concept to the relationships between the Heiltsuk people on British Columbia’s central coast and Euro-Canadians. He points out that dialogue is a process of negotiation of meanings, presentation, and representation of self and other: “Its currency included speech acts, symbolic actions, material exchange, violence, marriage, imitation, legislation, and witchcraft. Each utterance transformed the dialogue, and to a greater or lesser degree, the </w:t>
      </w:r>
      <w:proofErr w:type="spellStart"/>
      <w:r>
        <w:t>lifeworlds</w:t>
      </w:r>
      <w:proofErr w:type="spellEnd"/>
      <w:r>
        <w:t xml:space="preserve"> of the interlocutors.”</w:t>
      </w:r>
      <w:r>
        <w:rPr>
          <w:vertAlign w:val="superscript"/>
        </w:rPr>
        <w:t>24</w:t>
      </w:r>
      <w:r>
        <w:t xml:space="preserve"> / 23 @Border </w:t>
      </w:r>
      <w:r>
        <w:rPr>
          <w:highlight w:val="magenta"/>
        </w:rPr>
        <w:t>Homi Bhabha</w:t>
      </w:r>
      <w:r>
        <w:t xml:space="preserve"> argues, “</w:t>
      </w:r>
      <w:r>
        <w:rPr>
          <w:b/>
        </w:rPr>
        <w:t>The borderline engagement of cultural difference may as often be consensual as conflictual</w:t>
      </w:r>
      <w:r>
        <w:t>.”</w:t>
      </w:r>
      <w:r>
        <w:rPr>
          <w:vertAlign w:val="superscript"/>
        </w:rPr>
        <w:t>27</w:t>
      </w:r>
      <w:r>
        <w:t xml:space="preserve"> / 26 There is no single voice among white Canadians, among colonizing populations, or among indigenous peoples. </w:t>
      </w:r>
      <w:r>
        <w:rPr>
          <w:b/>
        </w:rPr>
        <w:t>There are collaborators among the colonized, quislings among the colonists</w:t>
      </w:r>
      <w:r>
        <w:t xml:space="preserve">. / 27 @Poco A vast literature asks, in the words of Gayatri Spivak, </w:t>
      </w:r>
      <w:proofErr w:type="gramStart"/>
      <w:r>
        <w:t>whether or not</w:t>
      </w:r>
      <w:proofErr w:type="gramEnd"/>
      <w:r>
        <w:t xml:space="preserve"> the subaltern (native) can speak. [28] </w:t>
      </w:r>
      <w:r>
        <w:rPr>
          <w:highlight w:val="magenta"/>
        </w:rPr>
        <w:t>Spivak</w:t>
      </w:r>
      <w:r>
        <w:t xml:space="preserve">, </w:t>
      </w:r>
      <w:r>
        <w:rPr>
          <w:highlight w:val="magenta"/>
        </w:rPr>
        <w:t>Chow</w:t>
      </w:r>
      <w:r>
        <w:t xml:space="preserve"> and some other </w:t>
      </w:r>
      <w:proofErr w:type="spellStart"/>
      <w:r>
        <w:t>postcolonialist</w:t>
      </w:r>
      <w:proofErr w:type="spellEnd"/>
      <w:r>
        <w:t xml:space="preserve"> writers have forced us to confront how we impose our own projections onto the research material, but they underestimate the historical enterprise. For the past within living memory, interviewing, of course, allows “the native” to speak. / 277 @Arg </w:t>
      </w:r>
      <w:proofErr w:type="spellStart"/>
      <w:r>
        <w:t>boriginal</w:t>
      </w:r>
      <w:proofErr w:type="spellEnd"/>
      <w:r>
        <w:t xml:space="preserve"> People flocked to the colonizers’ </w:t>
      </w:r>
      <w:r>
        <w:lastRenderedPageBreak/>
        <w:t>factories to work not because they had “</w:t>
      </w:r>
      <w:proofErr w:type="spellStart"/>
      <w:r>
        <w:t>acculturized</w:t>
      </w:r>
      <w:proofErr w:type="spellEnd"/>
      <w:r>
        <w:t xml:space="preserve">” to the ways of the Europeans but because they saw this as a way of enabling them to engage more fully in their own “traditional </w:t>
      </w:r>
      <w:proofErr w:type="spellStart"/>
      <w:r>
        <w:t>pur</w:t>
      </w:r>
      <w:proofErr w:type="spellEnd"/>
      <w:r>
        <w:t xml:space="preserve">- suits.” / 281 @Arg No matter what strategy Aboriginal People adopted to deal with the Europeans, accommodation, resistance, or a combination of both, two centuries after the first Europeans arrived, the Lekwungen, the Tsilhqot’in, and the vast majority of Aboriginal People in British Columbia were impoverished and dependent. … he two examples of the Lekwungen and the Tsilhqot’in remind us of the complexity and variability of these innumerable interactions and the danger of broad-brush theoretical approaches to them. / 282 Why were Aboriginal People working in fewer occupational categories, with a lower </w:t>
      </w:r>
      <w:r>
        <w:rPr>
          <w:b/>
        </w:rPr>
        <w:t>workforce participation rate</w:t>
      </w:r>
      <w:r>
        <w:t xml:space="preserve">, in 1970 than in 1870? / 284 1885, the completion of the </w:t>
      </w:r>
      <w:r>
        <w:rPr>
          <w:b/>
        </w:rPr>
        <w:t>Canadian Pacific Railway</w:t>
      </w:r>
      <w:r>
        <w:t xml:space="preserve"> / In 1885, the long-standing campaign by missionaries against the </w:t>
      </w:r>
      <w:r>
        <w:rPr>
          <w:b/>
        </w:rPr>
        <w:t>potlatch</w:t>
      </w:r>
      <w:r>
        <w:t xml:space="preserve"> system was taken up by the federal government, which banned the potlatch, the central element of the west coast prestige economy. / 287 “</w:t>
      </w:r>
      <w:r>
        <w:rPr>
          <w:b/>
        </w:rPr>
        <w:t>welfare colonialism</w:t>
      </w:r>
      <w:r>
        <w:t xml:space="preserve">” / 289 </w:t>
      </w:r>
      <w:r>
        <w:rPr>
          <w:b/>
        </w:rPr>
        <w:t>White Paper</w:t>
      </w:r>
      <w:r>
        <w:t xml:space="preserve">, which was introduced by the Liberal government of </w:t>
      </w:r>
      <w:r>
        <w:rPr>
          <w:highlight w:val="magenta"/>
        </w:rPr>
        <w:t>Pierre Elliott Trudeau</w:t>
      </w:r>
      <w:r>
        <w:t xml:space="preserve"> in 1969 and which proposed legislation to wipe out Indian status and rights. / Black Power and AIM / 290 Calder case and </w:t>
      </w:r>
      <w:r>
        <w:rPr>
          <w:b/>
          <w:i/>
        </w:rPr>
        <w:t>Delgamuukw</w:t>
      </w:r>
      <w:r>
        <w:t xml:space="preserve"> case / 293 The</w:t>
      </w:r>
    </w:p>
    <w:p w14:paraId="509E308B" w14:textId="77777777" w:rsidR="00076776" w:rsidRDefault="00000000">
      <w:r>
        <w:rPr>
          <w:b/>
        </w:rPr>
        <w:t>Lekwungen</w:t>
      </w:r>
      <w:r>
        <w:t xml:space="preserve"> have two seats on the new Harbour Authority, which has assumed federal responsibilities for land- and water-use decisions around the Victoria and Esquimalt harbours. The Songhees and Esquimalt bands have cooperated to purchase urban land for joint tourism ventures and launched a lawsuit to reclaim the land upon which the Legislative Buildings sit (land that </w:t>
      </w:r>
      <w:proofErr w:type="gramStart"/>
      <w:r>
        <w:t>was</w:t>
      </w:r>
      <w:proofErr w:type="gramEnd"/>
      <w:r>
        <w:t xml:space="preserve"> promised them in the </w:t>
      </w:r>
      <w:r>
        <w:rPr>
          <w:b/>
        </w:rPr>
        <w:t>Douglas Treaty</w:t>
      </w:r>
      <w:r>
        <w:t xml:space="preserve">). The two bands settled out of court in 2006 for $13.5 million. / 296 </w:t>
      </w:r>
      <w:r>
        <w:rPr>
          <w:b/>
        </w:rPr>
        <w:t>1864 Chilcotin Wa</w:t>
      </w:r>
      <w:r>
        <w:t xml:space="preserve">r, the Canadian military and RCMP mounted a second paramilitary invasion of Tsilhqot’in territory in 1995 to counter the </w:t>
      </w:r>
      <w:proofErr w:type="spellStart"/>
      <w:r>
        <w:t>occu</w:t>
      </w:r>
      <w:proofErr w:type="spellEnd"/>
      <w:r>
        <w:t xml:space="preserve">- </w:t>
      </w:r>
      <w:proofErr w:type="spellStart"/>
      <w:r>
        <w:t>pation</w:t>
      </w:r>
      <w:proofErr w:type="spellEnd"/>
      <w:r>
        <w:t xml:space="preserve"> of a campsite at </w:t>
      </w:r>
      <w:r>
        <w:rPr>
          <w:b/>
        </w:rPr>
        <w:t>Gustafson Lake</w:t>
      </w:r>
      <w:r>
        <w:t xml:space="preserve"> / View of </w:t>
      </w:r>
      <w:r>
        <w:rPr>
          <w:b/>
        </w:rPr>
        <w:t>James Douglas’s Indian Policy</w:t>
      </w:r>
      <w:r>
        <w:t>: The best reply is given by the Indians in their own words in the classical “Chinook”: – “</w:t>
      </w:r>
      <w:proofErr w:type="spellStart"/>
      <w:r>
        <w:t>Hiyu</w:t>
      </w:r>
      <w:proofErr w:type="spellEnd"/>
      <w:r>
        <w:t xml:space="preserve"> </w:t>
      </w:r>
      <w:proofErr w:type="spellStart"/>
      <w:r>
        <w:t>closh</w:t>
      </w:r>
      <w:proofErr w:type="spellEnd"/>
      <w:r>
        <w:t xml:space="preserve"> wawa pe wake </w:t>
      </w:r>
      <w:proofErr w:type="spellStart"/>
      <w:r>
        <w:t>consick</w:t>
      </w:r>
      <w:proofErr w:type="spellEnd"/>
      <w:r>
        <w:t xml:space="preserve"> </w:t>
      </w:r>
      <w:proofErr w:type="spellStart"/>
      <w:r>
        <w:t>mamook</w:t>
      </w:r>
      <w:proofErr w:type="spellEnd"/>
      <w:r>
        <w:t xml:space="preserve"> </w:t>
      </w:r>
      <w:proofErr w:type="spellStart"/>
      <w:r>
        <w:t>coqua</w:t>
      </w:r>
      <w:proofErr w:type="spellEnd"/>
      <w:r>
        <w:t xml:space="preserve">,” which, being rendered into English, would read – “He gives many good words but never performs.” Columbian, June 8, 1864 / 302 </w:t>
      </w:r>
      <w:r>
        <w:rPr>
          <w:highlight w:val="magenta"/>
        </w:rPr>
        <w:t>Matthew Baillie Begbie</w:t>
      </w:r>
      <w:r>
        <w:t xml:space="preserve"> (who sentenced the seven Tsilhqot’in chiefs to death for their role in the Chilcotin War) </w:t>
      </w:r>
    </w:p>
    <w:p w14:paraId="5FB93782" w14:textId="77777777" w:rsidR="00076776" w:rsidRDefault="00076776"/>
    <w:p w14:paraId="5F936F75" w14:textId="77777777" w:rsidR="00076776" w:rsidRDefault="00000000">
      <w:pPr>
        <w:pStyle w:val="Heading2"/>
      </w:pPr>
      <w:r>
        <w:t>Notes</w:t>
      </w:r>
    </w:p>
    <w:p w14:paraId="3627D7A9" w14:textId="77777777" w:rsidR="00076776" w:rsidRDefault="00000000">
      <w:r>
        <w:rPr>
          <w:highlight w:val="green"/>
        </w:rPr>
        <w:t>11 @</w:t>
      </w:r>
      <w:proofErr w:type="gramStart"/>
      <w:r>
        <w:rPr>
          <w:highlight w:val="green"/>
        </w:rPr>
        <w:t>Diss?@</w:t>
      </w:r>
      <w:proofErr w:type="gramEnd"/>
      <w:r>
        <w:rPr>
          <w:highlight w:val="green"/>
        </w:rPr>
        <w:t>UL@FFessay</w:t>
      </w:r>
      <w:r>
        <w:t>@Motherlode!</w:t>
      </w:r>
    </w:p>
    <w:p w14:paraId="31894769" w14:textId="77777777" w:rsidR="00076776" w:rsidRDefault="00000000">
      <w:r>
        <w:t xml:space="preserve">@Knote: possibly add the below to the </w:t>
      </w:r>
      <w:hyperlink w:anchor="_heading=h.3l18frh">
        <w:r w:rsidR="00076776">
          <w:rPr>
            <w:color w:val="0563C1"/>
            <w:u w:val="single"/>
          </w:rPr>
          <w:t>Enframement of Maps section</w:t>
        </w:r>
      </w:hyperlink>
      <w:r>
        <w:t>.</w:t>
      </w:r>
    </w:p>
    <w:p w14:paraId="7A8558E3" w14:textId="77777777" w:rsidR="00076776" w:rsidRDefault="00076776"/>
    <w:p w14:paraId="68B0032F" w14:textId="77777777" w:rsidR="00076776" w:rsidRDefault="00000000">
      <w:pPr>
        <w:ind w:left="720"/>
      </w:pPr>
      <w:r>
        <w:t xml:space="preserve">Among Nuxalk people, who live on the central coast of British Columbia, transformative exchange was built into their language and how they understood the world. In their language the root/stem </w:t>
      </w:r>
      <w:r>
        <w:rPr>
          <w:i/>
        </w:rPr>
        <w:t>ay</w:t>
      </w:r>
      <w:r>
        <w:t xml:space="preserve">, </w:t>
      </w:r>
      <w:proofErr w:type="spellStart"/>
      <w:r>
        <w:rPr>
          <w:i/>
        </w:rPr>
        <w:t>ayaw</w:t>
      </w:r>
      <w:proofErr w:type="spellEnd"/>
      <w:r>
        <w:t xml:space="preserve">, and </w:t>
      </w:r>
      <w:r>
        <w:rPr>
          <w:i/>
        </w:rPr>
        <w:t>ayu</w:t>
      </w:r>
      <w:r>
        <w:t>, which means “to exchange and trade,” also means “to become changed.”</w:t>
      </w:r>
      <w:r>
        <w:rPr>
          <w:vertAlign w:val="superscript"/>
        </w:rPr>
        <w:t>21</w:t>
      </w:r>
    </w:p>
    <w:p w14:paraId="4377128B" w14:textId="77777777" w:rsidR="00076776" w:rsidRDefault="00076776"/>
    <w:p w14:paraId="4A0F2A9F" w14:textId="77777777" w:rsidR="00076776" w:rsidRDefault="00000000">
      <w:r>
        <w:t>Could be built upon to suggest that toponyms are an ontological exchange, and in the same that Lutz argues that “to exchange and trade” also means “to become changed” (11), we could see toponyms as items of exchange and maps as sites of ontological commerce. In this analogy, the one-sidedness of the exchange becomes obvious: settler toponyms currently represent the dominant ontological currency, while Indigenous toponyms are limited, Anglicized, or conspicuously absent in the cartographic “</w:t>
      </w:r>
      <w:proofErr w:type="spellStart"/>
      <w:r>
        <w:rPr>
          <w:i/>
        </w:rPr>
        <w:t>makúk</w:t>
      </w:r>
      <w:proofErr w:type="spellEnd"/>
      <w:r>
        <w:t xml:space="preserve">.” Surely, then, Indigenous Peoples must be changed by this exchange, but until settlers makes space for the counter-exchange, it follows that they cannot be changed. In other words, the exchange &gt; change dynamic is, at best, lopsided, and </w:t>
      </w:r>
      <w:r>
        <w:lastRenderedPageBreak/>
        <w:t xml:space="preserve">at worst, a hostile takeover. Perhaps, a cartographic </w:t>
      </w:r>
      <w:proofErr w:type="spellStart"/>
      <w:r>
        <w:rPr>
          <w:i/>
        </w:rPr>
        <w:t>makúk</w:t>
      </w:r>
      <w:proofErr w:type="spellEnd"/>
      <w:r>
        <w:t xml:space="preserve"> could catalyze when settlers and their colonial hegemonies make space for Indigenous counter-exchanges. </w:t>
      </w:r>
    </w:p>
    <w:p w14:paraId="42E30495" w14:textId="77777777" w:rsidR="00076776" w:rsidRDefault="00076776"/>
    <w:p w14:paraId="1A339469" w14:textId="77777777" w:rsidR="00076776" w:rsidRDefault="00000000">
      <w:r>
        <w:t xml:space="preserve">See this quote in Chapter 2, </w:t>
      </w:r>
      <w:proofErr w:type="gramStart"/>
      <w:r>
        <w:t>in order to</w:t>
      </w:r>
      <w:proofErr w:type="gramEnd"/>
      <w:r>
        <w:t xml:space="preserve"> show the lopsidedness of the dialogic encounter, as read through </w:t>
      </w:r>
      <w:proofErr w:type="spellStart"/>
      <w:r>
        <w:rPr>
          <w:highlight w:val="magenta"/>
        </w:rPr>
        <w:t>Bhaktin</w:t>
      </w:r>
      <w:proofErr w:type="spellEnd"/>
      <w:r>
        <w:t>:  To say that Aboriginal Peoples engaged in a dialogue with Europeans does not suggest that both parties had the same power to shape that dialogue. Indeed, the power imbalances in that dialogue, expressed through wage work and welfare as well as in many other ways, were precisely what accounts for the dispossession/subordination of Aboriginal Peoples. Look, too, at “transformational exchange” and this quote on 22: But if objects are transformed by the act of exchange, then what hap- pens when people move across cultural divides and move in and out of modernity and the capitalist economy? They, too, are transformed.</w:t>
      </w:r>
      <w:r>
        <w:rPr>
          <w:vertAlign w:val="superscript"/>
        </w:rPr>
        <w:t>26</w:t>
      </w:r>
    </w:p>
    <w:p w14:paraId="47D1302C" w14:textId="77777777" w:rsidR="00076776" w:rsidRDefault="00076776"/>
    <w:p w14:paraId="3F31F262" w14:textId="77777777" w:rsidR="00076776" w:rsidRDefault="00000000">
      <w:proofErr w:type="gramStart"/>
      <w:r>
        <w:t>And,</w:t>
      </w:r>
      <w:proofErr w:type="gramEnd"/>
      <w:r>
        <w:t xml:space="preserve"> this </w:t>
      </w:r>
      <w:r>
        <w:rPr>
          <w:highlight w:val="magenta"/>
        </w:rPr>
        <w:t>Thomas</w:t>
      </w:r>
      <w:r>
        <w:t xml:space="preserve"> quote: “...the circulation of objects, especially across the edges of societies, civilizations, and trading regimes, is not merely a physical process but is also a movement and displacement of competing conceptions of things” (</w:t>
      </w:r>
      <w:r>
        <w:rPr>
          <w:i/>
        </w:rPr>
        <w:t>Entangled Objects</w:t>
      </w:r>
      <w:r>
        <w:t xml:space="preserve">, 1991). </w:t>
      </w:r>
    </w:p>
    <w:p w14:paraId="7A2C70BD" w14:textId="77777777" w:rsidR="00076776" w:rsidRDefault="00076776"/>
    <w:p w14:paraId="15EE0C62" w14:textId="77777777" w:rsidR="00076776" w:rsidRDefault="00000000">
      <w:r>
        <w:t>18 @FFessay@Diss?</w:t>
      </w:r>
    </w:p>
    <w:p w14:paraId="685DB988" w14:textId="77777777" w:rsidR="00076776" w:rsidRDefault="00000000">
      <w:r>
        <w:t xml:space="preserve">Build on this to argue for the necessity of Indigenous-led content, and in Indigenous languages: </w:t>
      </w:r>
    </w:p>
    <w:p w14:paraId="6EA37D81" w14:textId="77777777" w:rsidR="00076776" w:rsidRDefault="00000000">
      <w:pPr>
        <w:ind w:left="720"/>
      </w:pPr>
      <w:r>
        <w:rPr>
          <w:highlight w:val="magenta"/>
        </w:rPr>
        <w:t>Mary Pratt</w:t>
      </w:r>
      <w:r>
        <w:t xml:space="preserve"> refers to these types of accounts as “auto-ethnography”: Aboriginal People tell their own stories but in an idiom that has been heavily influenced by non-aboriginal</w:t>
      </w:r>
    </w:p>
    <w:p w14:paraId="1112BBAC" w14:textId="77777777" w:rsidR="00076776" w:rsidRDefault="00076776"/>
    <w:p w14:paraId="16B66810" w14:textId="77777777" w:rsidR="00076776" w:rsidRDefault="00000000">
      <w:pPr>
        <w:rPr>
          <w:b/>
        </w:rPr>
      </w:pPr>
      <w:r>
        <w:rPr>
          <w:b/>
        </w:rPr>
        <w:t>291 @CounterArg</w:t>
      </w:r>
    </w:p>
    <w:p w14:paraId="6EC2F897" w14:textId="77777777" w:rsidR="00076776" w:rsidRDefault="00000000">
      <w:r>
        <w:t xml:space="preserve">As regards this fact:  </w:t>
      </w:r>
    </w:p>
    <w:p w14:paraId="48C79D56" w14:textId="77777777" w:rsidR="00076776" w:rsidRDefault="00000000">
      <w:pPr>
        <w:ind w:firstLine="720"/>
      </w:pPr>
      <w:r>
        <w:t>In the 1970s, residential schools were phased out, the last one closing in 1988…</w:t>
      </w:r>
    </w:p>
    <w:p w14:paraId="2CEBB60C" w14:textId="77777777" w:rsidR="00076776" w:rsidRDefault="00000000">
      <w:r>
        <w:t>Thought it was 1996: “The Gordon Residential School in Punnichy, Saskatchewan, closed in 1996. It was the last residential school in Canada” (</w:t>
      </w:r>
      <w:hyperlink r:id="rId39">
        <w:r w:rsidR="00076776">
          <w:rPr>
            <w:color w:val="0563C1"/>
            <w:u w:val="single"/>
          </w:rPr>
          <w:t>Canadian Encyclopedia</w:t>
        </w:r>
      </w:hyperlink>
      <w:r>
        <w:t xml:space="preserve">). </w:t>
      </w:r>
    </w:p>
    <w:p w14:paraId="69B3C0F9" w14:textId="77777777" w:rsidR="00076776" w:rsidRDefault="00076776"/>
    <w:p w14:paraId="2FFF0FC3" w14:textId="77777777" w:rsidR="00076776" w:rsidRDefault="00000000">
      <w:pPr>
        <w:pStyle w:val="Heading1"/>
      </w:pPr>
      <w:bookmarkStart w:id="49" w:name="_heading=h.37m2jsg" w:colFirst="0" w:colLast="0"/>
      <w:bookmarkEnd w:id="49"/>
      <w:r>
        <w:t xml:space="preserve">(2013) Layland, </w:t>
      </w:r>
      <w:r>
        <w:rPr>
          <w:i/>
        </w:rPr>
        <w:t>The Land of Heart’s Delight: Early Maps of Vancouver Island</w:t>
      </w:r>
    </w:p>
    <w:p w14:paraId="670C769E" w14:textId="77777777" w:rsidR="00076776" w:rsidRDefault="00076776"/>
    <w:p w14:paraId="642F6FE0" w14:textId="77777777" w:rsidR="00076776" w:rsidRDefault="00000000">
      <w:pPr>
        <w:pStyle w:val="Heading2"/>
      </w:pPr>
      <w:r>
        <w:t>Abstract</w:t>
      </w:r>
    </w:p>
    <w:p w14:paraId="0AE3D479" w14:textId="77777777" w:rsidR="00076776" w:rsidRDefault="00000000">
      <w:r>
        <w:t xml:space="preserve">A collection of key maps on Vancouver Island, with short chapters for historical context. </w:t>
      </w:r>
    </w:p>
    <w:p w14:paraId="615ACF3E" w14:textId="77777777" w:rsidR="00076776" w:rsidRDefault="00076776"/>
    <w:p w14:paraId="73CD5A95" w14:textId="77777777" w:rsidR="00076776" w:rsidRDefault="00000000">
      <w:pPr>
        <w:pStyle w:val="Heading2"/>
      </w:pPr>
      <w:r>
        <w:t>Key words</w:t>
      </w:r>
    </w:p>
    <w:p w14:paraId="2818F6E6" w14:textId="77777777" w:rsidR="00076776" w:rsidRDefault="00000000">
      <w:r>
        <w:t xml:space="preserve">map, cartography, Vancouver Island history, colonialism, land </w:t>
      </w:r>
    </w:p>
    <w:p w14:paraId="60C49744" w14:textId="77777777" w:rsidR="00076776" w:rsidRDefault="00076776"/>
    <w:p w14:paraId="70EBF101" w14:textId="77777777" w:rsidR="00076776" w:rsidRDefault="00000000">
      <w:pPr>
        <w:pStyle w:val="Heading2"/>
      </w:pPr>
      <w:r>
        <w:t>Essential quote</w:t>
      </w:r>
    </w:p>
    <w:p w14:paraId="2689A362" w14:textId="77777777" w:rsidR="00076776" w:rsidRDefault="00000000">
      <w:r>
        <w:t xml:space="preserve">77 The lack of maps was a serious handicap to the task of colonization. If settlers were to be attracted and persuaded to invest, they would want to see detailed descriptions of the lands and resources on offer. The colonial administration also needed a cadastral system—which documents and registers legal boundaries—to indicate what properties were available and to assure potential buyers that a property’s legal title was secure. </w:t>
      </w:r>
    </w:p>
    <w:p w14:paraId="094DAF5C" w14:textId="77777777" w:rsidR="00076776" w:rsidRDefault="00076776"/>
    <w:p w14:paraId="044D1E36" w14:textId="77777777" w:rsidR="00076776" w:rsidRDefault="00000000">
      <w:pPr>
        <w:pStyle w:val="Heading2"/>
      </w:pPr>
      <w:r>
        <w:t>Terms</w:t>
      </w:r>
    </w:p>
    <w:p w14:paraId="1D8CC387" w14:textId="77777777" w:rsidR="00076776" w:rsidRDefault="00000000">
      <w:r>
        <w:t xml:space="preserve">27 </w:t>
      </w:r>
      <w:proofErr w:type="spellStart"/>
      <w:r>
        <w:rPr>
          <w:b/>
        </w:rPr>
        <w:t>makook</w:t>
      </w:r>
      <w:proofErr w:type="spellEnd"/>
      <w:r>
        <w:t xml:space="preserve">: </w:t>
      </w:r>
      <w:proofErr w:type="spellStart"/>
      <w:r>
        <w:t>Mowachaht</w:t>
      </w:r>
      <w:proofErr w:type="spellEnd"/>
      <w:r>
        <w:t xml:space="preserve"> </w:t>
      </w:r>
      <w:proofErr w:type="spellStart"/>
      <w:proofErr w:type="gramStart"/>
      <w:r>
        <w:t>for”Do</w:t>
      </w:r>
      <w:proofErr w:type="spellEnd"/>
      <w:proofErr w:type="gramEnd"/>
      <w:r>
        <w:t xml:space="preserve"> you want to do business?”</w:t>
      </w:r>
    </w:p>
    <w:p w14:paraId="3C35D794" w14:textId="77777777" w:rsidR="00076776" w:rsidRDefault="00000000">
      <w:r>
        <w:t xml:space="preserve">50 </w:t>
      </w:r>
      <w:proofErr w:type="spellStart"/>
      <w:r>
        <w:rPr>
          <w:b/>
        </w:rPr>
        <w:t>goleta</w:t>
      </w:r>
      <w:proofErr w:type="spellEnd"/>
      <w:r>
        <w:t xml:space="preserve">: schooner. See </w:t>
      </w:r>
      <w:hyperlink r:id="rId40">
        <w:r w:rsidR="00076776">
          <w:rPr>
            <w:color w:val="0563C1"/>
            <w:u w:val="single"/>
          </w:rPr>
          <w:t>https://goletahistory.com/whats-a-goleta/</w:t>
        </w:r>
      </w:hyperlink>
    </w:p>
    <w:p w14:paraId="789C11D1" w14:textId="77777777" w:rsidR="00076776" w:rsidRDefault="00000000">
      <w:r>
        <w:t xml:space="preserve">88 </w:t>
      </w:r>
      <w:r>
        <w:rPr>
          <w:b/>
        </w:rPr>
        <w:t xml:space="preserve">cadastral system </w:t>
      </w:r>
      <w:r>
        <w:t xml:space="preserve">called “metes and bounds.” From </w:t>
      </w:r>
      <w:hyperlink r:id="rId41">
        <w:r w:rsidR="00076776">
          <w:rPr>
            <w:color w:val="0563C1"/>
            <w:u w:val="single"/>
          </w:rPr>
          <w:t>Wikipedia</w:t>
        </w:r>
      </w:hyperlink>
      <w:r>
        <w:t>: “Cadastral surveying is the sub-field of cadastre and surveying that specialises in the establishment and re-establishment of real property boundaries. It is an important component of the legal creation of properties. A cadastral surveyor must apply both the spatial-measurement principles of general surveying and legal principles such as respect of neighboring titles.”</w:t>
      </w:r>
    </w:p>
    <w:p w14:paraId="166482F4" w14:textId="77777777" w:rsidR="00076776" w:rsidRDefault="00000000">
      <w:r>
        <w:t xml:space="preserve">129 </w:t>
      </w:r>
      <w:r>
        <w:rPr>
          <w:b/>
        </w:rPr>
        <w:t>the back of the world</w:t>
      </w:r>
      <w:r>
        <w:t>: SOME SCOTTISH WRITERS DISPARAGED THE two British colonies on the Pacific coast of North America as being “the back of the world.” This referred more to their remoteness than the quality of the land itself, which was considerably more fertile than the highlands and islands of the critics’ homeland.</w:t>
      </w:r>
    </w:p>
    <w:p w14:paraId="29008011" w14:textId="77777777" w:rsidR="00076776" w:rsidRDefault="00076776"/>
    <w:p w14:paraId="133DD336" w14:textId="77777777" w:rsidR="00076776" w:rsidRDefault="00000000">
      <w:pPr>
        <w:pStyle w:val="Heading2"/>
      </w:pPr>
      <w:r>
        <w:t>Core quotes</w:t>
      </w:r>
    </w:p>
    <w:p w14:paraId="45DC7996" w14:textId="77777777" w:rsidR="00076776" w:rsidRDefault="00000000">
      <w:r>
        <w:t>3 @Map@Pow@Hist</w:t>
      </w:r>
    </w:p>
    <w:p w14:paraId="36314775" w14:textId="77777777" w:rsidR="00076776" w:rsidRDefault="00000000">
      <w:pPr>
        <w:ind w:left="420"/>
      </w:pPr>
      <w:r>
        <w:t>THE LINGUA FRANCA OF GEOGRAPHY, maps speak not just about the lay of the land, but also of the state of civilization itself. As artifacts, they help us trace the causes, constraints, and biases—of the nations and of the individuals—under which they were produced. ... The oldest map so far discovered dates from the upper Paleolithic era. Twenty-five thousand years ago, a cartographer from the Pavlovian culture in today’s Slovak Republic scribed, onto a mammoth’s tusk, the meanders of a river and the surrounding hills. This map—if that is what it is—would indicate that cartography predated writing.</w:t>
      </w:r>
    </w:p>
    <w:p w14:paraId="1B8F36C9" w14:textId="77777777" w:rsidR="00076776" w:rsidRDefault="00076776">
      <w:pPr>
        <w:ind w:left="420"/>
      </w:pPr>
    </w:p>
    <w:p w14:paraId="60358A58" w14:textId="77777777" w:rsidR="00076776" w:rsidRDefault="00000000">
      <w:r>
        <w:t>5 @Map@IndHist</w:t>
      </w:r>
    </w:p>
    <w:p w14:paraId="01093D32" w14:textId="77777777" w:rsidR="00076776" w:rsidRDefault="00000000">
      <w:pPr>
        <w:ind w:left="420"/>
      </w:pPr>
      <w:r>
        <w:t xml:space="preserve">Aboriginal peoples drew features on rocks that might be interpreted as maps, although none have been definitively identified as such. Some of these pictographs appear to represent either a path or stream between two lakes, or a mystic journey drawn by someone undergoing, perhaps, a rite of passage. ... All maps will have been generated with intent, bias, and selectivity, and they cannot be separated from those motives. ... The </w:t>
      </w:r>
      <w:r>
        <w:rPr>
          <w:b/>
        </w:rPr>
        <w:t>story behind the book’s title</w:t>
      </w:r>
      <w:r>
        <w:t xml:space="preserve"> is this: to entice more settlers from Britain, in 1911 the Vancouver Island Development League published a booklet entitled </w:t>
      </w:r>
      <w:r>
        <w:rPr>
          <w:i/>
        </w:rPr>
        <w:t>The Land of Heart’s Delight</w:t>
      </w:r>
      <w:r>
        <w:t xml:space="preserve">. The sentiment echoed </w:t>
      </w:r>
      <w:r>
        <w:rPr>
          <w:highlight w:val="yellow"/>
        </w:rPr>
        <w:t>Captain George Vancouver</w:t>
      </w:r>
      <w:r>
        <w:t xml:space="preserve">’s opinion, penned more than a century earlier: “. . . the </w:t>
      </w:r>
      <w:proofErr w:type="gramStart"/>
      <w:r>
        <w:t>most lovely</w:t>
      </w:r>
      <w:proofErr w:type="gramEnd"/>
      <w:r>
        <w:t xml:space="preserve"> country that can be imagined.”</w:t>
      </w:r>
    </w:p>
    <w:p w14:paraId="5A7D57DE" w14:textId="77777777" w:rsidR="00076776" w:rsidRDefault="00076776"/>
    <w:p w14:paraId="15A0BC0A" w14:textId="77777777" w:rsidR="00076776" w:rsidRDefault="00000000">
      <w:pPr>
        <w:rPr>
          <w:highlight w:val="darkGreen"/>
        </w:rPr>
      </w:pPr>
      <w:r>
        <w:rPr>
          <w:highlight w:val="darkGreen"/>
        </w:rPr>
        <w:t>48 @Map@ISr@Despatches</w:t>
      </w:r>
    </w:p>
    <w:p w14:paraId="525A8926" w14:textId="77777777" w:rsidR="00076776" w:rsidRDefault="00000000">
      <w:pPr>
        <w:ind w:left="720"/>
      </w:pPr>
      <w:r>
        <w:t xml:space="preserve">In 1852, when </w:t>
      </w:r>
      <w:r>
        <w:rPr>
          <w:highlight w:val="yellow"/>
        </w:rPr>
        <w:t>James Douglas</w:t>
      </w:r>
      <w:r>
        <w:t xml:space="preserve"> and his surveyor, </w:t>
      </w:r>
      <w:r>
        <w:rPr>
          <w:highlight w:val="yellow"/>
        </w:rPr>
        <w:t>Joseph Pemberton</w:t>
      </w:r>
      <w:r>
        <w:t xml:space="preserve">, made a canoe voyage from Fort Victoria to the newly discovered coal measures at </w:t>
      </w:r>
      <w:proofErr w:type="spellStart"/>
      <w:r>
        <w:t>Wentuhuysen</w:t>
      </w:r>
      <w:proofErr w:type="spellEnd"/>
      <w:r>
        <w:t xml:space="preserve"> [Nanaimo Harbour], they found that the true coastline of Vancouver Island lay as much as twelve miles (twenty kilometres) to the southwest of where Narváez had shown it.</w:t>
      </w:r>
    </w:p>
    <w:p w14:paraId="764C5583" w14:textId="77777777" w:rsidR="00076776" w:rsidRDefault="00076776"/>
    <w:p w14:paraId="69797334" w14:textId="77777777" w:rsidR="00076776" w:rsidRDefault="00000000">
      <w:r>
        <w:t>52 @Map@Pow@Polity</w:t>
      </w:r>
    </w:p>
    <w:p w14:paraId="73459264" w14:textId="77777777" w:rsidR="00076776" w:rsidRDefault="00000000">
      <w:pPr>
        <w:ind w:left="720"/>
      </w:pPr>
      <w:r>
        <w:t xml:space="preserve">Vancouver incorporated the work of various Spanish expeditions into his chart of the island. From </w:t>
      </w:r>
      <w:r>
        <w:tab/>
        <w:t xml:space="preserve">Alcalá Galiano and Valdés, he copied sectors of coastline southeast from Nootka, continuing around Punta de San Gonzalo and then northwest as far as today’s </w:t>
      </w:r>
      <w:r>
        <w:lastRenderedPageBreak/>
        <w:t>Cape Lazo, and from Beaver Harbour around to Cape Scott. Vancouver’s charts fully acknowledged the Spaniards’ contribution.</w:t>
      </w:r>
    </w:p>
    <w:p w14:paraId="4F0DF3DF" w14:textId="77777777" w:rsidR="00076776" w:rsidRDefault="00076776"/>
    <w:p w14:paraId="6551A147" w14:textId="77777777" w:rsidR="00076776" w:rsidRDefault="00000000">
      <w:r>
        <w:t>63 @Isr@Map@Polity</w:t>
      </w:r>
    </w:p>
    <w:p w14:paraId="07A516E2" w14:textId="77777777" w:rsidR="00076776" w:rsidRDefault="00000000">
      <w:pPr>
        <w:ind w:left="720"/>
      </w:pPr>
      <w:r>
        <w:t>IN MARCH 1795, BODEGA Y Quadra’s replacement, Brigadier José Alava, and Lieutenant Thomas Pierce of the Royal Marines executed the Convention for the Abandonment of Nootka. The Spanish flag was lowered; the Union Jack hoisted, then lowered. Both groups departed, leaving</w:t>
      </w:r>
      <w:r>
        <w:rPr>
          <w:b/>
        </w:rPr>
        <w:t xml:space="preserve"> a puzzled Maquinna</w:t>
      </w:r>
      <w:r>
        <w:t xml:space="preserve"> with documents to produce for any stranger who might come by in the future. ... Significantly, none of these imperial treaties had involved, consulted, or even acknowledged the indigenous residents. Those Aboriginal peoples suffered in other ways from the attention of outsiders. ... </w:t>
      </w:r>
      <w:r>
        <w:rPr>
          <w:b/>
        </w:rPr>
        <w:t>Along with cultural traditions, dialects and even languages were lost, which also affected future place names</w:t>
      </w:r>
      <w:r>
        <w:t>.</w:t>
      </w:r>
    </w:p>
    <w:p w14:paraId="636B99C4" w14:textId="77777777" w:rsidR="00076776" w:rsidRDefault="00076776"/>
    <w:p w14:paraId="31F6E0DA" w14:textId="77777777" w:rsidR="00076776" w:rsidRDefault="00000000">
      <w:r>
        <w:t>64 @Map@Topo</w:t>
      </w:r>
    </w:p>
    <w:p w14:paraId="671CCD35" w14:textId="77777777" w:rsidR="00076776" w:rsidRDefault="00000000">
      <w:pPr>
        <w:ind w:left="720"/>
      </w:pPr>
      <w:r>
        <w:t>Aaron Arrowsmith ... Between 1795 and 1850 he issued eighteen updated versions of his</w:t>
      </w:r>
      <w:r>
        <w:rPr>
          <w:i/>
        </w:rPr>
        <w:t xml:space="preserve"> Map Exhibiting All the New Discoveries in the Interior Parts of North America</w:t>
      </w:r>
      <w:r>
        <w:t>, which he dedicated to the company. From 1798 on, for the coastline of Vancouver Island, he relied upon Vancouver’s published charts, but gave as its primary toponym “</w:t>
      </w:r>
      <w:proofErr w:type="spellStart"/>
      <w:r>
        <w:rPr>
          <w:b/>
        </w:rPr>
        <w:t>Wakash</w:t>
      </w:r>
      <w:proofErr w:type="spellEnd"/>
      <w:r>
        <w:rPr>
          <w:b/>
        </w:rPr>
        <w:t xml:space="preserve"> Nation</w:t>
      </w:r>
      <w:r>
        <w:t>,” with “Quadra and Vancouvers Island” as secondary. Also, south of the island, “</w:t>
      </w:r>
      <w:proofErr w:type="spellStart"/>
      <w:r>
        <w:t>Classet</w:t>
      </w:r>
      <w:proofErr w:type="spellEnd"/>
      <w:r>
        <w:t>” was shown as the main title for the entrance to a smaller “supposed Str of Juan de Fuca,” hinting at residual doubt. (See Fig. 36)</w:t>
      </w:r>
    </w:p>
    <w:p w14:paraId="56F94511" w14:textId="77777777" w:rsidR="00076776" w:rsidRDefault="00076776"/>
    <w:p w14:paraId="33DB7CB6" w14:textId="77777777" w:rsidR="00076776" w:rsidRDefault="00000000">
      <w:r>
        <w:t>@Map@Polity@Pow@ManDest@FFessay</w:t>
      </w:r>
    </w:p>
    <w:p w14:paraId="064C1C4D" w14:textId="77777777" w:rsidR="00076776" w:rsidRDefault="00000000">
      <w:pPr>
        <w:ind w:left="720"/>
      </w:pPr>
      <w:r>
        <w:t xml:space="preserve">… </w:t>
      </w:r>
      <w:r>
        <w:rPr>
          <w:b/>
        </w:rPr>
        <w:t>Lewis and Clark</w:t>
      </w:r>
      <w:r>
        <w:t xml:space="preserve"> overland expedition of 1804–06. The Americans convinced them- selves that they enjoyed a God-given “</w:t>
      </w:r>
      <w:r>
        <w:rPr>
          <w:b/>
        </w:rPr>
        <w:t>Manifest Destiny</w:t>
      </w:r>
      <w:r>
        <w:t>” to dominate the hemisphere from sea to sea. In 1823, President Monroe declared his doctrine: “the American continents . . . are henceforth not to be considered as subjects for future colonization by any European power.”</w:t>
      </w:r>
    </w:p>
    <w:p w14:paraId="30E662B5" w14:textId="77777777" w:rsidR="00076776" w:rsidRDefault="00076776"/>
    <w:p w14:paraId="11657E17" w14:textId="77777777" w:rsidR="00076776" w:rsidRDefault="00000000">
      <w:r>
        <w:t>67 @Topo@Map@FFessay?</w:t>
      </w:r>
    </w:p>
    <w:p w14:paraId="7DA30501" w14:textId="77777777" w:rsidR="00076776" w:rsidRDefault="00000000">
      <w:pPr>
        <w:ind w:left="720"/>
      </w:pPr>
      <w:r>
        <w:t xml:space="preserve">Captain William Henry McNeill, skipper of the Beaver, reconnoitred several First Nation villages, now known as Sooke, Becher Bay, Metchosin, Esquimalt, and Victoria. McNeill and James Douglas used </w:t>
      </w:r>
      <w:r>
        <w:rPr>
          <w:b/>
        </w:rPr>
        <w:t>their versions of the First Nation (Lekwungen) place names.</w:t>
      </w:r>
      <w:r>
        <w:t xml:space="preserve"> Their name for Victoria Harbour was the Canal of </w:t>
      </w:r>
      <w:proofErr w:type="spellStart"/>
      <w:r>
        <w:t>Camosack</w:t>
      </w:r>
      <w:proofErr w:type="spellEnd"/>
      <w:r>
        <w:t>, and it headed McNeill’s shortlist of good harbours.</w:t>
      </w:r>
    </w:p>
    <w:p w14:paraId="7203F098" w14:textId="77777777" w:rsidR="00076776" w:rsidRDefault="00076776"/>
    <w:p w14:paraId="1C31F361" w14:textId="77777777" w:rsidR="00076776" w:rsidRDefault="00000000">
      <w:r>
        <w:t xml:space="preserve">Key map </w:t>
      </w:r>
      <w:proofErr w:type="spellStart"/>
      <w:r>
        <w:t>forVictoria</w:t>
      </w:r>
      <w:proofErr w:type="spellEnd"/>
      <w:r>
        <w:t xml:space="preserve">: </w:t>
      </w:r>
    </w:p>
    <w:p w14:paraId="435282F7" w14:textId="77777777" w:rsidR="00076776" w:rsidRDefault="00000000">
      <w:pPr>
        <w:ind w:left="720"/>
      </w:pPr>
      <w:r>
        <w:rPr>
          <w:b/>
        </w:rPr>
        <w:t xml:space="preserve">Lewes, the Métis son of another chief factor... </w:t>
      </w:r>
      <w:r>
        <w:t xml:space="preserve">Lewes titled the map he drew to accompany Douglas’s report to his superior, Dr. John McLoughlin, </w:t>
      </w:r>
      <w:r>
        <w:rPr>
          <w:i/>
        </w:rPr>
        <w:t>Ground Plan of Portion of Vancouvers Island Selected for New Establishment</w:t>
      </w:r>
      <w:r>
        <w:t>. Essentially, the map is thematic, portraying landscapes and terrain. (See Figs. 39 and 40, page 68) Not only was this</w:t>
      </w:r>
      <w:r>
        <w:rPr>
          <w:b/>
        </w:rPr>
        <w:t xml:space="preserve"> the first map to be drawn of Victoria</w:t>
      </w:r>
      <w:r>
        <w:t xml:space="preserve">, </w:t>
      </w:r>
      <w:proofErr w:type="gramStart"/>
      <w:r>
        <w:t>it was</w:t>
      </w:r>
      <w:proofErr w:type="gramEnd"/>
      <w:r>
        <w:t xml:space="preserve"> the first of any part of the island’s interior, except for a sketch drawn by Maquinna in 1793 of </w:t>
      </w:r>
      <w:r>
        <w:tab/>
        <w:t xml:space="preserve">his </w:t>
      </w:r>
      <w:proofErr w:type="spellStart"/>
      <w:r>
        <w:t>oolichan</w:t>
      </w:r>
      <w:proofErr w:type="spellEnd"/>
      <w:r>
        <w:t xml:space="preserve"> trail from </w:t>
      </w:r>
      <w:proofErr w:type="spellStart"/>
      <w:r>
        <w:t>Yuquot</w:t>
      </w:r>
      <w:proofErr w:type="spellEnd"/>
      <w:r>
        <w:t xml:space="preserve"> to </w:t>
      </w:r>
      <w:proofErr w:type="spellStart"/>
      <w:r>
        <w:t>Cheslakees’s</w:t>
      </w:r>
      <w:proofErr w:type="spellEnd"/>
      <w:r>
        <w:t xml:space="preserve"> village.</w:t>
      </w:r>
    </w:p>
    <w:p w14:paraId="4F771672" w14:textId="77777777" w:rsidR="00076776" w:rsidRDefault="00076776"/>
    <w:p w14:paraId="26A4EFA7" w14:textId="77777777" w:rsidR="00076776" w:rsidRDefault="00000000">
      <w:r>
        <w:lastRenderedPageBreak/>
        <w:t>69 @CogImp@ManDest@ISr@Map@Aes</w:t>
      </w:r>
    </w:p>
    <w:p w14:paraId="208AA426" w14:textId="77777777" w:rsidR="00076776" w:rsidRDefault="00000000">
      <w:r>
        <w:t xml:space="preserve">Douglas’s “perfect </w:t>
      </w:r>
      <w:proofErr w:type="spellStart"/>
      <w:proofErr w:type="gramStart"/>
      <w:r>
        <w:t>eden</w:t>
      </w:r>
      <w:proofErr w:type="spellEnd"/>
      <w:r>
        <w:t>”...</w:t>
      </w:r>
      <w:proofErr w:type="gramEnd"/>
    </w:p>
    <w:p w14:paraId="01C80E6A" w14:textId="77777777" w:rsidR="00076776" w:rsidRDefault="00000000">
      <w:pPr>
        <w:ind w:left="720"/>
      </w:pPr>
      <w:r>
        <w:t xml:space="preserve">Douglas, the dour Scot, extolled it: “The place itself appears to be a perfect ‘Eden,’ in the midst of the dreary wilderness of the North west coast, </w:t>
      </w:r>
      <w:r>
        <w:tab/>
        <w:t xml:space="preserve">and so different in its general aspect, from the wooded, rugged regions around, that one might be pardoned for supposing it had dropped from the clouds into its present position.” 6 The following year, while anchored off Ogden Point, Douglas again waxed poetic: “The view landwards was enchanting . . . There was something specially charming, bewitching in the place . . . it was as though nature and art had combined to map and make one of the most pleasing prospects in the world.” 7 </w:t>
      </w:r>
    </w:p>
    <w:p w14:paraId="72DDAC5B" w14:textId="77777777" w:rsidR="00076776" w:rsidRDefault="00000000">
      <w:pPr>
        <w:ind w:left="720" w:firstLine="720"/>
      </w:pPr>
      <w:r>
        <w:t xml:space="preserve">Source for note #7: Begg, </w:t>
      </w:r>
      <w:r>
        <w:rPr>
          <w:i/>
        </w:rPr>
        <w:t>The History of BC</w:t>
      </w:r>
      <w:r>
        <w:t xml:space="preserve">, 156. </w:t>
      </w:r>
    </w:p>
    <w:p w14:paraId="3D2A1393" w14:textId="77777777" w:rsidR="00076776" w:rsidRDefault="00076776"/>
    <w:p w14:paraId="123DCA31" w14:textId="77777777" w:rsidR="00076776" w:rsidRDefault="00000000">
      <w:r>
        <w:t xml:space="preserve">72 </w:t>
      </w:r>
      <w:proofErr w:type="spellStart"/>
      <w:r>
        <w:t>Isr@Map@Polity@Erase</w:t>
      </w:r>
      <w:proofErr w:type="spellEnd"/>
    </w:p>
    <w:p w14:paraId="678280D5" w14:textId="77777777" w:rsidR="00076776" w:rsidRDefault="00000000">
      <w:r>
        <w:t>On the Oregon Treaty:</w:t>
      </w:r>
    </w:p>
    <w:p w14:paraId="14954CB7" w14:textId="77777777" w:rsidR="00076776" w:rsidRDefault="00000000">
      <w:pPr>
        <w:ind w:left="720"/>
      </w:pPr>
      <w:r>
        <w:t>No other authority, including the resident population of Aboriginal people, was acknowledged. Its effect was to grant ownership of the land to the signatory nations; by this means, the British Crown acquired legal title to Vancouver Island and to what would later become British Columbia.</w:t>
      </w:r>
    </w:p>
    <w:p w14:paraId="3EACBA15" w14:textId="77777777" w:rsidR="00076776" w:rsidRDefault="00076776"/>
    <w:p w14:paraId="036B9AEA" w14:textId="77777777" w:rsidR="00076776" w:rsidRDefault="00000000">
      <w:r>
        <w:t>78 @Treaty@ISr@IndHist</w:t>
      </w:r>
    </w:p>
    <w:p w14:paraId="5222A9F8" w14:textId="77777777" w:rsidR="00076776" w:rsidRDefault="00000000">
      <w:r>
        <w:t xml:space="preserve">Interesting take on the DTs... </w:t>
      </w:r>
    </w:p>
    <w:p w14:paraId="16DF7A52" w14:textId="77777777" w:rsidR="00076776" w:rsidRDefault="00000000">
      <w:pPr>
        <w:ind w:left="720"/>
      </w:pPr>
      <w:r>
        <w:t>Douglas also raised the question of indigenous peoples’ property rights on the island. Mention of this issue, now known as “Aboriginal Title,” in Douglas’s correspondence indicates that senior company officers acknowledged that such rights did exist and needed to be addressed in the colonization process. Over the next few years, Douglas purchased some land occupied, and presumed owned, by local First Nations. Fourteen documents, separate but with similar wording, transferred title over traditional tribal lands surrounding Fort Victoria, Fort Rupert, the Saanich Peninsula, and Nanaimo to the HBC, but acting as agent for the Crown. These deals became known as the Douglas or Fort Victoria Treaties. 5 ... “</w:t>
      </w:r>
      <w:r>
        <w:rPr>
          <w:b/>
        </w:rPr>
        <w:t>the Entire property of the White people forever</w:t>
      </w:r>
      <w:r>
        <w:t>.”</w:t>
      </w:r>
    </w:p>
    <w:p w14:paraId="16644C7F" w14:textId="77777777" w:rsidR="00076776" w:rsidRDefault="00076776"/>
    <w:p w14:paraId="20D75A2A" w14:textId="77777777" w:rsidR="00076776" w:rsidRDefault="00000000">
      <w:r>
        <w:lastRenderedPageBreak/>
        <w:t>Page 79 map</w:t>
      </w:r>
      <w:r>
        <w:rPr>
          <w:noProof/>
        </w:rPr>
        <w:drawing>
          <wp:anchor distT="0" distB="0" distL="0" distR="0" simplePos="0" relativeHeight="251658240" behindDoc="0" locked="0" layoutInCell="1" hidden="0" allowOverlap="1" wp14:anchorId="061C99AB" wp14:editId="123FDA70">
            <wp:simplePos x="0" y="0"/>
            <wp:positionH relativeFrom="column">
              <wp:posOffset>356870</wp:posOffset>
            </wp:positionH>
            <wp:positionV relativeFrom="paragraph">
              <wp:posOffset>349250</wp:posOffset>
            </wp:positionV>
            <wp:extent cx="5007610" cy="4251325"/>
            <wp:effectExtent l="0" t="0" r="0" b="0"/>
            <wp:wrapTopAndBottom distT="0" distB="0"/>
            <wp:docPr id="10" name="image3.png" descr="A close up of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close up of text on a white background&#10;&#10;Description automatically generated"/>
                    <pic:cNvPicPr preferRelativeResize="0"/>
                  </pic:nvPicPr>
                  <pic:blipFill>
                    <a:blip r:embed="rId42"/>
                    <a:srcRect/>
                    <a:stretch>
                      <a:fillRect/>
                    </a:stretch>
                  </pic:blipFill>
                  <pic:spPr>
                    <a:xfrm>
                      <a:off x="0" y="0"/>
                      <a:ext cx="5007610" cy="4251325"/>
                    </a:xfrm>
                    <a:prstGeom prst="rect">
                      <a:avLst/>
                    </a:prstGeom>
                    <a:ln/>
                  </pic:spPr>
                </pic:pic>
              </a:graphicData>
            </a:graphic>
          </wp:anchor>
        </w:drawing>
      </w:r>
    </w:p>
    <w:p w14:paraId="00AAAF50" w14:textId="77777777" w:rsidR="00076776" w:rsidRDefault="00076776">
      <w:pPr>
        <w:pBdr>
          <w:top w:val="nil"/>
          <w:left w:val="nil"/>
          <w:bottom w:val="nil"/>
          <w:right w:val="nil"/>
          <w:between w:val="nil"/>
        </w:pBdr>
        <w:spacing w:after="140" w:line="276" w:lineRule="auto"/>
        <w:rPr>
          <w:color w:val="000000"/>
        </w:rPr>
      </w:pPr>
    </w:p>
    <w:p w14:paraId="2F14506D" w14:textId="77777777" w:rsidR="00076776" w:rsidRDefault="00000000">
      <w:r>
        <w:t>86 @Map@Hist@L?</w:t>
      </w:r>
    </w:p>
    <w:p w14:paraId="395E4090" w14:textId="77777777" w:rsidR="00076776" w:rsidRDefault="00000000">
      <w:r>
        <w:t>Pemberton’s order upon arrival on June 24, 1851...</w:t>
      </w:r>
    </w:p>
    <w:p w14:paraId="6FDFA6EB" w14:textId="77777777" w:rsidR="00076776" w:rsidRDefault="00000000">
      <w:pPr>
        <w:ind w:left="720"/>
      </w:pPr>
      <w:r>
        <w:t>...and as the main object for which these surveys are undertaken is the Colonization of the Island, you will be careful to note the external features and geological formation of the several localities which you examine, mentioning the nature and qualities of the soil and subsoil, the different kinds of timber and other vegetable productions, and in short all such particulars as it may be useful for settlers to be informed of.” 1</w:t>
      </w:r>
    </w:p>
    <w:p w14:paraId="72137C5B" w14:textId="77777777" w:rsidR="00076776" w:rsidRDefault="00076776">
      <w:pPr>
        <w:ind w:left="720"/>
      </w:pPr>
    </w:p>
    <w:p w14:paraId="709699FB" w14:textId="77777777" w:rsidR="00076776" w:rsidRDefault="00000000">
      <w:r>
        <w:t>@BQuant@Metis@</w:t>
      </w:r>
      <w:proofErr w:type="gramStart"/>
      <w:r>
        <w:t>Motherlode!@</w:t>
      </w:r>
      <w:proofErr w:type="gramEnd"/>
      <w:r>
        <w:t>ISr</w:t>
      </w:r>
    </w:p>
    <w:p w14:paraId="5C9E13D0" w14:textId="77777777" w:rsidR="00076776" w:rsidRDefault="00000000">
      <w:pPr>
        <w:ind w:left="720"/>
      </w:pPr>
      <w:r>
        <w:t xml:space="preserve">Pemberton ... soon came to prefer employing Métis, as they were the men best suited to the arduous travel and physical work in the dense forest. These men, usually the sons of fur traders and their Native wives, had come to the west as company employees. Many of them had Iroquois blood and were expert trackers. Douglas had organized the same </w:t>
      </w:r>
      <w:r>
        <w:rPr>
          <w:b/>
        </w:rPr>
        <w:t>“Half- whites” into a paramilitary police force called the Voltigeurs</w:t>
      </w:r>
      <w:r>
        <w:t>.</w:t>
      </w:r>
    </w:p>
    <w:p w14:paraId="376B067A" w14:textId="77777777" w:rsidR="00076776" w:rsidRDefault="00076776"/>
    <w:p w14:paraId="1FE45016" w14:textId="77777777" w:rsidR="00076776" w:rsidRDefault="00000000">
      <w:r>
        <w:t>89 @</w:t>
      </w:r>
      <w:proofErr w:type="gramStart"/>
      <w:r>
        <w:t>L?@</w:t>
      </w:r>
      <w:proofErr w:type="gramEnd"/>
      <w:r>
        <w:t>SettState@ISr</w:t>
      </w:r>
    </w:p>
    <w:p w14:paraId="14E126B3" w14:textId="77777777" w:rsidR="00076776" w:rsidRDefault="00000000">
      <w:r>
        <w:t xml:space="preserve">Another way in which normalization occurs through literally overwriting: </w:t>
      </w:r>
    </w:p>
    <w:p w14:paraId="1C96582D" w14:textId="77777777" w:rsidR="00076776" w:rsidRDefault="00000000">
      <w:pPr>
        <w:ind w:left="720"/>
      </w:pPr>
      <w:r>
        <w:t xml:space="preserve">...some Native trails became routes used by settlers, parts of which remain today—for example, Cadboro Bay and Cedar Hill Roads, Quadra Street, and Fairfield Road. Such </w:t>
      </w:r>
      <w:r>
        <w:lastRenderedPageBreak/>
        <w:t>trails were few, since the local Songhees preferred to make long-distance travel by canoe rather than overland. [92 Pemberton ... opted to use on his maps the anglicized version of the local people’s name for the harbour and nearby area, and “</w:t>
      </w:r>
      <w:proofErr w:type="spellStart"/>
      <w:r>
        <w:t>Colviletown</w:t>
      </w:r>
      <w:proofErr w:type="spellEnd"/>
      <w:r>
        <w:t>” for the actual settlement.</w:t>
      </w:r>
    </w:p>
    <w:p w14:paraId="4EC18433" w14:textId="77777777" w:rsidR="00076776" w:rsidRDefault="00076776"/>
    <w:p w14:paraId="70F967CC" w14:textId="77777777" w:rsidR="00076776" w:rsidRDefault="00000000">
      <w:pPr>
        <w:rPr>
          <w:highlight w:val="red"/>
        </w:rPr>
      </w:pPr>
      <w:r>
        <w:rPr>
          <w:highlight w:val="red"/>
        </w:rPr>
        <w:t>181 @Map@IndHist@Lang@ISr</w:t>
      </w:r>
    </w:p>
    <w:p w14:paraId="2B10040F" w14:textId="77777777" w:rsidR="00076776" w:rsidRDefault="00000000">
      <w:pPr>
        <w:ind w:firstLine="720"/>
        <w:rPr>
          <w:highlight w:val="red"/>
        </w:rPr>
      </w:pPr>
      <w:r>
        <w:rPr>
          <w:highlight w:val="red"/>
        </w:rPr>
        <w:t>NOTE: List of Kwakwaka’wakw toponyms for Map 8, Nimpkish River and Lake.</w:t>
      </w:r>
    </w:p>
    <w:p w14:paraId="20786C2C" w14:textId="77777777" w:rsidR="00076776" w:rsidRDefault="00076776">
      <w:pPr>
        <w:rPr>
          <w:highlight w:val="red"/>
        </w:rPr>
      </w:pPr>
    </w:p>
    <w:p w14:paraId="46DA9AB7" w14:textId="77777777" w:rsidR="00076776" w:rsidRDefault="00000000">
      <w:r>
        <w:t>138 @Resist@Decol@Map@ISr</w:t>
      </w:r>
    </w:p>
    <w:p w14:paraId="4B6E4A4D" w14:textId="77777777" w:rsidR="00076776" w:rsidRDefault="00000000">
      <w:pPr>
        <w:ind w:left="720"/>
      </w:pPr>
      <w:r>
        <w:t>Wells’s survey posts were “removed by Indians” within three years, although there appears to have been little overt hostility toward the settlers themselves, and brush fires obliterated his cutlines, further complicating the process of pre-emption.</w:t>
      </w:r>
    </w:p>
    <w:p w14:paraId="6125546C" w14:textId="77777777" w:rsidR="00076776" w:rsidRDefault="00076776"/>
    <w:p w14:paraId="70249503" w14:textId="77777777" w:rsidR="00076776" w:rsidRDefault="00000000">
      <w:pPr>
        <w:pStyle w:val="Heading2"/>
      </w:pPr>
      <w:r>
        <w:t>Secondary quotes</w:t>
      </w:r>
    </w:p>
    <w:p w14:paraId="467595DE" w14:textId="77777777" w:rsidR="00076776" w:rsidRDefault="00000000">
      <w:r>
        <w:t xml:space="preserve">7-8 @Map@hist@ManDest </w:t>
      </w:r>
      <w:r>
        <w:rPr>
          <w:highlight w:val="yellow"/>
        </w:rPr>
        <w:t>Cornelis de Jode</w:t>
      </w:r>
      <w:r>
        <w:t xml:space="preserve"> published the first printed map focused on the Pacific Northwest in Antwerp, in </w:t>
      </w:r>
      <w:r>
        <w:tab/>
        <w:t xml:space="preserve">1593. He used as the title of the map </w:t>
      </w:r>
      <w:proofErr w:type="spellStart"/>
      <w:r>
        <w:t>Quivirae</w:t>
      </w:r>
      <w:proofErr w:type="spellEnd"/>
      <w:r>
        <w:t xml:space="preserve"> Regnum (the Kingdom of Quivira), one of several mythical lands sought by Spanish conquistadores. Centred on the map are two unnamed islands </w:t>
      </w:r>
      <w:r>
        <w:tab/>
        <w:t xml:space="preserve">close to the coast between latitudes 49° and 51° north.8 De Jode seems to have derived the detail and </w:t>
      </w:r>
      <w:r>
        <w:rPr>
          <w:b/>
        </w:rPr>
        <w:t>toponyms</w:t>
      </w:r>
      <w:r>
        <w:t xml:space="preserve"> (place names) from cartography of the period, probably a world map published by Petrus Plancius in 1592. / 8+ History of West Coast geographical speculation: Anaximander (Greek geographer 600 BCE) and 1776, the Venetian cartographer Antonio Zatta / 13 </w:t>
      </w:r>
      <w:r>
        <w:rPr>
          <w:highlight w:val="yellow"/>
        </w:rPr>
        <w:t>Drake</w:t>
      </w:r>
      <w:r>
        <w:t xml:space="preserve"> embarked in 1577 on the </w:t>
      </w:r>
      <w:r>
        <w:rPr>
          <w:i/>
        </w:rPr>
        <w:t>Golden Hinde</w:t>
      </w:r>
      <w:r>
        <w:t xml:space="preserve">, on a semi-official mission to challenge the Spanish-Portuguese Treaty of Tordesillas, which claimed to divide the as-yet uncolonized parts of the world into their respective realms. / 17 The old mariner, </w:t>
      </w:r>
      <w:r>
        <w:rPr>
          <w:b/>
        </w:rPr>
        <w:t>Ioannis Phokas</w:t>
      </w:r>
      <w:r>
        <w:t xml:space="preserve"> of Valeriano—in Spanish, </w:t>
      </w:r>
      <w:r>
        <w:rPr>
          <w:b/>
        </w:rPr>
        <w:t xml:space="preserve">Juan de Fuca / 19 </w:t>
      </w:r>
      <w:proofErr w:type="spellStart"/>
      <w:r>
        <w:rPr>
          <w:b/>
        </w:rPr>
        <w:t>Isr@IndiHist@Hist@Col@</w:t>
      </w:r>
      <w:proofErr w:type="gramStart"/>
      <w:r>
        <w:rPr>
          <w:b/>
        </w:rPr>
        <w:t>L?</w:t>
      </w:r>
      <w:r>
        <w:t>On</w:t>
      </w:r>
      <w:proofErr w:type="spellEnd"/>
      <w:proofErr w:type="gramEnd"/>
      <w:r>
        <w:t xml:space="preserve"> August 5, 1773, at around 49° north, Pérez pointed Santiago’s bow toward some snow-capped </w:t>
      </w:r>
      <w:r>
        <w:tab/>
        <w:t xml:space="preserve">peaks. This was the first recorded sighting of Vancouver Island by any European. ... Throughout </w:t>
      </w:r>
      <w:r>
        <w:tab/>
        <w:t xml:space="preserve">the calm night, the local Hesquiaht people, keeping a prudent distance, continued to inspect the </w:t>
      </w:r>
      <w:r>
        <w:tab/>
        <w:t xml:space="preserve">visitors from their canoes. Some trading took place, crew members exchanging abalone shells for </w:t>
      </w:r>
      <w:r>
        <w:tab/>
        <w:t xml:space="preserve">sea otter skins and fresh sardines. At some point, possibly during these trades, the locals acquired two silver spoons of Spanish origin; Spain would later cite these spoons as key evidence in support of its territorial claim to the whole coast, although no Spaniard had </w:t>
      </w:r>
      <w:proofErr w:type="gramStart"/>
      <w:r>
        <w:t>actually set</w:t>
      </w:r>
      <w:proofErr w:type="gramEnd"/>
      <w:r>
        <w:t xml:space="preserve"> foot on shore. / 19 Vitus Bering and Alexei Chirikov had reached the coast of North America in 1741 1773 the new viceroy, Antonio Bucareli y Ursúa, chose a veteran, Juan Pérez, for a voyage to counter the Russian encroachment. Pérez was to sail to latitude 60° north, make a landing, and perform </w:t>
      </w:r>
      <w:r>
        <w:rPr>
          <w:b/>
        </w:rPr>
        <w:t>a formal Act of Possession</w:t>
      </w:r>
      <w:r>
        <w:t xml:space="preserve">. / Haida Gwaii / 23 1775, The </w:t>
      </w:r>
      <w:proofErr w:type="spellStart"/>
      <w:r>
        <w:t>Mowachaht</w:t>
      </w:r>
      <w:proofErr w:type="spellEnd"/>
      <w:r>
        <w:t xml:space="preserve"> onshore saw </w:t>
      </w:r>
      <w:r>
        <w:rPr>
          <w:i/>
        </w:rPr>
        <w:t>Sonora</w:t>
      </w:r>
      <w:r>
        <w:t>’s two masts and, fourteen years later, reported this to the American fur trader Joseph Ingraham. / 25 @Topo Cook named the headland Cape Flattery. / 26 Cook and his fellow officers watched the resident people gesticulate and call out, “</w:t>
      </w:r>
      <w:proofErr w:type="spellStart"/>
      <w:r>
        <w:rPr>
          <w:b/>
          <w:i/>
        </w:rPr>
        <w:t>Noot’ka</w:t>
      </w:r>
      <w:proofErr w:type="spellEnd"/>
      <w:r>
        <w:rPr>
          <w:b/>
          <w:i/>
        </w:rPr>
        <w:t xml:space="preserve">! </w:t>
      </w:r>
      <w:proofErr w:type="spellStart"/>
      <w:r>
        <w:rPr>
          <w:b/>
          <w:i/>
        </w:rPr>
        <w:t>Noot’ka</w:t>
      </w:r>
      <w:proofErr w:type="spellEnd"/>
      <w:r>
        <w:rPr>
          <w:b/>
          <w:i/>
        </w:rPr>
        <w:t xml:space="preserve"> </w:t>
      </w:r>
      <w:proofErr w:type="spellStart"/>
      <w:r>
        <w:rPr>
          <w:b/>
          <w:i/>
        </w:rPr>
        <w:t>ichim</w:t>
      </w:r>
      <w:proofErr w:type="spellEnd"/>
      <w:r>
        <w:t xml:space="preserve">! </w:t>
      </w:r>
      <w:proofErr w:type="gramStart"/>
      <w:r>
        <w:t>“ which</w:t>
      </w:r>
      <w:proofErr w:type="gramEnd"/>
      <w:r>
        <w:t xml:space="preserve"> they interpreted to be the local name of the place. In fact, the paddlers, familiar with the dangers of the exposed coast, had been instructing the ships to “come around, come around the point!” But thereafter, the name Nootka remained. The actual name for the </w:t>
      </w:r>
      <w:proofErr w:type="spellStart"/>
      <w:r>
        <w:rPr>
          <w:b/>
        </w:rPr>
        <w:t>Mowachaht</w:t>
      </w:r>
      <w:proofErr w:type="spellEnd"/>
      <w:r>
        <w:t xml:space="preserve"> summer encampment was </w:t>
      </w:r>
      <w:proofErr w:type="spellStart"/>
      <w:r>
        <w:t>Yuquot</w:t>
      </w:r>
      <w:proofErr w:type="spellEnd"/>
      <w:r>
        <w:t xml:space="preserve">, meaning “exposed to the winds.” / March 1778: first Europeans to set foot on VI / 29 Cook’s chief cartographer, Lieutenant Henry Rogers first published chart showing data from actual observation of any part of Vancouver Island, 1780. / 31 ... first trading voyages arrived at Friendly Cove, and by 1792, more than twenty vessels were </w:t>
      </w:r>
      <w:r>
        <w:lastRenderedPageBreak/>
        <w:t>active in the sea otter business. / 32 @Fem@ISr ... Charles Barkley’s</w:t>
      </w:r>
      <w:r>
        <w:rPr>
          <w:i/>
        </w:rPr>
        <w:t xml:space="preserve"> Imperial Eagle</w:t>
      </w:r>
      <w:r>
        <w:t>, put into Nootka Sound in June 1787. Barkley’s wife, Frances, became the first white woman known to have rounded Cape Horn and to have visited Hawaii, Alaska, and the shores of Vancouver Island. ... Mackay explained that he had been living “as an Indian” at Nootka for the past twelve months .... / 35 @MultiCult@ISr@Hist</w:t>
      </w:r>
    </w:p>
    <w:p w14:paraId="28033034" w14:textId="77777777" w:rsidR="00076776" w:rsidRDefault="00000000">
      <w:r>
        <w:t xml:space="preserve">John Meares builds first European-style boat on coast in the 1780s, with “Chinese crew:” Meares named it </w:t>
      </w:r>
      <w:r>
        <w:rPr>
          <w:i/>
        </w:rPr>
        <w:t>Northwest America</w:t>
      </w:r>
      <w:r>
        <w:t xml:space="preserve">. / 35 @Knote: seems like old-timey wording: Barkley’s fortunes changed. Salish tribesmen from the </w:t>
      </w:r>
      <w:r>
        <w:rPr>
          <w:b/>
        </w:rPr>
        <w:t>Makah nation</w:t>
      </w:r>
      <w:r>
        <w:t xml:space="preserve"> slaughtered a six-man shore party of his crew. / hydrographer of the East India Company, </w:t>
      </w:r>
      <w:r>
        <w:rPr>
          <w:highlight w:val="yellow"/>
        </w:rPr>
        <w:t>Alexander Dalrymple</w:t>
      </w:r>
      <w:r>
        <w:t xml:space="preserve">, who published them in 1789 and ‘90 / Gray and Kendrick, US fur traders / 39 </w:t>
      </w:r>
      <w:r>
        <w:rPr>
          <w:b/>
        </w:rPr>
        <w:t>Russians are coming</w:t>
      </w:r>
      <w:r>
        <w:t xml:space="preserve"> ... / 39 La Perouse saw </w:t>
      </w:r>
      <w:proofErr w:type="spellStart"/>
      <w:r>
        <w:t>Swiftsure</w:t>
      </w:r>
      <w:proofErr w:type="spellEnd"/>
      <w:r>
        <w:t xml:space="preserve"> Bank / 43 López de Haro’s chart of the expedition, </w:t>
      </w:r>
      <w:r>
        <w:rPr>
          <w:i/>
        </w:rPr>
        <w:t xml:space="preserve">Plano del </w:t>
      </w:r>
      <w:proofErr w:type="spellStart"/>
      <w:r>
        <w:rPr>
          <w:i/>
        </w:rPr>
        <w:t>Estrecho</w:t>
      </w:r>
      <w:proofErr w:type="spellEnd"/>
      <w:r>
        <w:rPr>
          <w:i/>
        </w:rPr>
        <w:t xml:space="preserve"> de Fuca</w:t>
      </w:r>
      <w:r>
        <w:t xml:space="preserve">, is a landmark in the cartographic history of Vancouver Island (see p. 41). / 44 The Nootka Incident / 48 Alejandro Malaspina / 49 Nootka Convention / Tiny boats! A new, </w:t>
      </w:r>
      <w:r>
        <w:rPr>
          <w:b/>
        </w:rPr>
        <w:t xml:space="preserve">forty-seven-foot </w:t>
      </w:r>
      <w:r>
        <w:t xml:space="preserve">(fourteen-metre) schooner, or </w:t>
      </w:r>
      <w:proofErr w:type="spellStart"/>
      <w:r>
        <w:t>goleta</w:t>
      </w:r>
      <w:proofErr w:type="spellEnd"/>
      <w:r>
        <w:t xml:space="preserve">, called Mexicana was built at the San Blas shipyard and ready in December 1791. / 51 </w:t>
      </w:r>
      <w:r>
        <w:rPr>
          <w:b/>
        </w:rPr>
        <w:t>Boundary Bay</w:t>
      </w:r>
      <w:r>
        <w:t xml:space="preserve">: On </w:t>
      </w:r>
      <w:r>
        <w:rPr>
          <w:b/>
        </w:rPr>
        <w:t>June 21 [1791?], anchored in Boundary Bay</w:t>
      </w:r>
      <w:r>
        <w:t xml:space="preserve">, the Spaniards watched a British ship approach. It was HMS Chatham, Lieutenant William Broughton, RN, commanding. He came aboard and informed them that Captain George Vancouver, RN, his expedition leader in HMS Discovery, was nearby. / 63 </w:t>
      </w:r>
      <w:r>
        <w:rPr>
          <w:b/>
        </w:rPr>
        <w:t>Anglo-American Convention of 1818</w:t>
      </w:r>
      <w:r>
        <w:t xml:space="preserve"> established the forty-ninth parallel as the boundary between the American and British territories westward from the </w:t>
      </w:r>
      <w:r>
        <w:rPr>
          <w:b/>
        </w:rPr>
        <w:t>Lake of the Woods</w:t>
      </w:r>
      <w:r>
        <w:t xml:space="preserve">, but only to the crest of the Rockies (called, at the time, the Stony Mountains). / 64 1821, the Hudson’s Bay Company and the </w:t>
      </w:r>
      <w:proofErr w:type="gramStart"/>
      <w:r>
        <w:t>North West</w:t>
      </w:r>
      <w:proofErr w:type="gramEnd"/>
      <w:r>
        <w:t xml:space="preserve"> Company, hitherto bitter rivals, merged. / Oregon Territory and this argument: Despite such sabre-rattling, </w:t>
      </w:r>
      <w:r>
        <w:rPr>
          <w:b/>
        </w:rPr>
        <w:t>the US government suspected, incorrectly, that its legal claim to Oregon was weaker than Britain’s. Officials were not familiar with the details of the third Nootka Convention of 1794, by which Britain had agreed not to claim any sovereignty over the region</w:t>
      </w:r>
      <w:r>
        <w:t xml:space="preserve">. / Charles Wilkes expedition </w:t>
      </w:r>
      <w:proofErr w:type="gramStart"/>
      <w:r>
        <w:t>/  67</w:t>
      </w:r>
      <w:proofErr w:type="gramEnd"/>
      <w:r>
        <w:t xml:space="preserve"> </w:t>
      </w:r>
      <w:r>
        <w:rPr>
          <w:highlight w:val="yellow"/>
        </w:rPr>
        <w:t>Wilkes</w:t>
      </w:r>
      <w:r>
        <w:t xml:space="preserve"> expedition / 72 February 1849, the Admiralty published a general chart, </w:t>
      </w:r>
      <w:r>
        <w:rPr>
          <w:i/>
        </w:rPr>
        <w:t>Vancouver Island and the Gulf of Georgia</w:t>
      </w:r>
      <w:r>
        <w:t>. ... The Admiralty, in this 1849 chart, did disservice to Vancouver’s friend and generous collaborator,</w:t>
      </w:r>
      <w:r>
        <w:rPr>
          <w:highlight w:val="yellow"/>
        </w:rPr>
        <w:t xml:space="preserve"> Juan Francisco de la Bodega y Quadra</w:t>
      </w:r>
      <w:r>
        <w:t>, in two ways: Not only was that gallant officer’s name omitted from the island’s name, but the Kellett chart also made no mention of his having been a major source for much of the detail on both coasts of the island. / Oregon Treaty June 15</w:t>
      </w:r>
      <w:proofErr w:type="gramStart"/>
      <w:r>
        <w:t xml:space="preserve"> 1846</w:t>
      </w:r>
      <w:proofErr w:type="gramEnd"/>
      <w:r>
        <w:t xml:space="preserve"> / Damn Yanks! Article 1 of the treaty read, in part: “The line of the boundary . . . shall be continued westward along the forty- ninth parallel of north latitude, to the middle of the channel which separates the continent from Vancouver’s Island; / 78 Captain Grant became the new colony’s first settler, and received a two-year appointment as surveyor. / 91 The </w:t>
      </w:r>
      <w:r>
        <w:rPr>
          <w:b/>
        </w:rPr>
        <w:t>first recorded crossing of Vancouver Island</w:t>
      </w:r>
      <w:r>
        <w:t xml:space="preserve"> by a European occurred in February 1849 / [The </w:t>
      </w:r>
      <w:r>
        <w:rPr>
          <w:b/>
        </w:rPr>
        <w:t>Cowichan Valley</w:t>
      </w:r>
      <w:r>
        <w:t xml:space="preserve">] may become a desirable place of settlement when the colony gathers strength and means to push out parties powerful enough to make head against the natives who . . . have lost nothing of their </w:t>
      </w:r>
      <w:r>
        <w:rPr>
          <w:b/>
        </w:rPr>
        <w:t>natural savage character</w:t>
      </w:r>
      <w:r>
        <w:t xml:space="preserve">.” 5 </w:t>
      </w:r>
    </w:p>
    <w:p w14:paraId="1D5D0A78" w14:textId="77777777" w:rsidR="00076776" w:rsidRDefault="00076776"/>
    <w:p w14:paraId="15674D53" w14:textId="77777777" w:rsidR="00076776" w:rsidRDefault="00000000">
      <w:pPr>
        <w:pStyle w:val="Heading2"/>
      </w:pPr>
      <w:r>
        <w:t>Notes</w:t>
      </w:r>
    </w:p>
    <w:p w14:paraId="370E37AE" w14:textId="77777777" w:rsidR="00076776" w:rsidRDefault="00000000">
      <w:r>
        <w:t>27 @Art@ISr@Hist</w:t>
      </w:r>
    </w:p>
    <w:p w14:paraId="377ACF79" w14:textId="77777777" w:rsidR="00076776" w:rsidRDefault="00000000">
      <w:r>
        <w:t xml:space="preserve">Get works by the two artists aboard, John Webber and William Ellis. </w:t>
      </w:r>
    </w:p>
    <w:p w14:paraId="7D7636CF" w14:textId="77777777" w:rsidR="00076776" w:rsidRDefault="00076776"/>
    <w:p w14:paraId="3B21ABF2" w14:textId="77777777" w:rsidR="00076776" w:rsidRDefault="00000000">
      <w:r>
        <w:t>63 @Ffessay@Diss</w:t>
      </w:r>
    </w:p>
    <w:p w14:paraId="15CE296D" w14:textId="77777777" w:rsidR="00076776" w:rsidRDefault="00000000">
      <w:r>
        <w:lastRenderedPageBreak/>
        <w:tab/>
        <w:t xml:space="preserve">Along with cultural traditions, dialects and even languages were lost, </w:t>
      </w:r>
      <w:r>
        <w:tab/>
        <w:t xml:space="preserve">which also affected future </w:t>
      </w:r>
      <w:r>
        <w:tab/>
        <w:t>place names.</w:t>
      </w:r>
    </w:p>
    <w:p w14:paraId="2117EB27" w14:textId="77777777" w:rsidR="00076776" w:rsidRDefault="00076776">
      <w:pPr>
        <w:rPr>
          <w:b/>
        </w:rPr>
      </w:pPr>
    </w:p>
    <w:p w14:paraId="2DA5059F" w14:textId="77777777" w:rsidR="00076776" w:rsidRDefault="00000000">
      <w:r>
        <w:t>72 @Map@Didd@Despatches</w:t>
      </w:r>
    </w:p>
    <w:p w14:paraId="2ED55F0F" w14:textId="77777777" w:rsidR="00076776" w:rsidRDefault="00000000">
      <w:r>
        <w:t xml:space="preserve">Find these early drawings? </w:t>
      </w:r>
    </w:p>
    <w:p w14:paraId="4AAC8210" w14:textId="77777777" w:rsidR="00076776" w:rsidRDefault="00000000">
      <w:r>
        <w:t>At the end of the season, Kellett dispatched to England the charting data—manuscript charts and accompanying notes—and the Admiralty transcribed and published them as a series of seven charts. The first, Victoria Harbour, dated September 15, 1848, was attributed to Captain Kellett, although Wood had done all the work.</w:t>
      </w:r>
    </w:p>
    <w:p w14:paraId="570681D1" w14:textId="77777777" w:rsidR="00076776" w:rsidRDefault="00076776"/>
    <w:p w14:paraId="2FAF1F3F" w14:textId="77777777" w:rsidR="00076776" w:rsidRDefault="00000000">
      <w:r>
        <w:t>74 @Map@FFessay@Diss?</w:t>
      </w:r>
    </w:p>
    <w:p w14:paraId="6C4E7213" w14:textId="77777777" w:rsidR="00076776" w:rsidRDefault="00000000">
      <w:r>
        <w:t xml:space="preserve">We can track the toponymic normalization process, an inherently biased one, through the gradual exclusion of Quadra’s name from the maps of VI: </w:t>
      </w:r>
    </w:p>
    <w:p w14:paraId="187B39F7" w14:textId="77777777" w:rsidR="00076776" w:rsidRDefault="00076776"/>
    <w:p w14:paraId="4A6B8455" w14:textId="77777777" w:rsidR="00076776" w:rsidRDefault="00000000">
      <w:r>
        <w:t>As would that new chart, Wyld’s map dropped Quadra’s name from the island’s toponym.</w:t>
      </w:r>
    </w:p>
    <w:p w14:paraId="19C09549" w14:textId="77777777" w:rsidR="00076776" w:rsidRDefault="00076776"/>
    <w:p w14:paraId="0C2BD449" w14:textId="77777777" w:rsidR="00076776" w:rsidRDefault="00000000">
      <w:r>
        <w:t xml:space="preserve">And, on page 72: </w:t>
      </w:r>
    </w:p>
    <w:p w14:paraId="087BA1EE" w14:textId="77777777" w:rsidR="00076776" w:rsidRDefault="00076776"/>
    <w:p w14:paraId="09FFDDCA" w14:textId="77777777" w:rsidR="00076776" w:rsidRDefault="00000000">
      <w:r>
        <w:t xml:space="preserve">The Admiralty, in this 1849 chart, did disservice to Vancouver’s friend and generous collaborator, Juan Francisco de la Bodega y Quadra, in two ways: Not only was that gallant officer’s name omitted from the island’s name, but the Kellett chart also made no mention of his having been a </w:t>
      </w:r>
      <w:r>
        <w:tab/>
        <w:t>major source for much of the detail on both coasts of the island.</w:t>
      </w:r>
    </w:p>
    <w:p w14:paraId="37EC35F2" w14:textId="77777777" w:rsidR="00076776" w:rsidRDefault="00076776"/>
    <w:p w14:paraId="7BDE5B27" w14:textId="77777777" w:rsidR="00076776" w:rsidRDefault="00000000">
      <w:r>
        <w:t>82 @DissSource@</w:t>
      </w:r>
      <w:proofErr w:type="gramStart"/>
      <w:r>
        <w:t>Diss?@</w:t>
      </w:r>
      <w:proofErr w:type="gramEnd"/>
      <w:r>
        <w:t>Hist</w:t>
      </w:r>
    </w:p>
    <w:p w14:paraId="1C5BE9FF" w14:textId="77777777" w:rsidR="00076776" w:rsidRDefault="00000000">
      <w:r>
        <w:t xml:space="preserve">Read Grant’s book on VI: </w:t>
      </w:r>
      <w:hyperlink r:id="rId43">
        <w:r w:rsidR="00076776">
          <w:rPr>
            <w:color w:val="0563C1"/>
            <w:u w:val="single"/>
          </w:rPr>
          <w:t>https://ia800209.us.archive.org/32/items/cihm_18767/cihm_18767.pdf</w:t>
        </w:r>
      </w:hyperlink>
    </w:p>
    <w:p w14:paraId="0D2C94A9" w14:textId="77777777" w:rsidR="00076776" w:rsidRDefault="00000000">
      <w:r>
        <w:t xml:space="preserve">He also has a paper in the Royal Geographical Society Journal of 1856. And Pemberton’s book </w:t>
      </w:r>
      <w:r>
        <w:rPr>
          <w:i/>
        </w:rPr>
        <w:t>Facts and Figures relating to Vancouver Island and British Columbia Showing What to Expect and How to Get There</w:t>
      </w:r>
      <w:r>
        <w:t>.</w:t>
      </w:r>
    </w:p>
    <w:p w14:paraId="024FD3A4" w14:textId="77777777" w:rsidR="00076776" w:rsidRDefault="00076776"/>
    <w:p w14:paraId="4B76EF8D" w14:textId="77777777" w:rsidR="00076776" w:rsidRDefault="00000000">
      <w:pPr>
        <w:rPr>
          <w:highlight w:val="green"/>
        </w:rPr>
      </w:pPr>
      <w:r>
        <w:rPr>
          <w:highlight w:val="green"/>
        </w:rPr>
        <w:t>88 @</w:t>
      </w:r>
      <w:proofErr w:type="gramStart"/>
      <w:r>
        <w:rPr>
          <w:highlight w:val="green"/>
        </w:rPr>
        <w:t>Diss?@</w:t>
      </w:r>
      <w:proofErr w:type="gramEnd"/>
      <w:r>
        <w:rPr>
          <w:highlight w:val="green"/>
        </w:rPr>
        <w:t>FFessay@Motherlode!</w:t>
      </w:r>
    </w:p>
    <w:p w14:paraId="2CD0DE2D" w14:textId="77777777" w:rsidR="00076776" w:rsidRDefault="00000000">
      <w:r>
        <w:t xml:space="preserve">Some kind of play on wording for the “cadastral system,” perhaps a counter-cadastral system? It is this system that rests at the heart of the colonial @L? project. </w:t>
      </w:r>
    </w:p>
    <w:p w14:paraId="63E828AE" w14:textId="77777777" w:rsidR="00076776" w:rsidRDefault="00076776"/>
    <w:p w14:paraId="5C6D8E39" w14:textId="77777777" w:rsidR="00076776" w:rsidRDefault="00000000">
      <w:r>
        <w:t>134 @Despatches?</w:t>
      </w:r>
    </w:p>
    <w:p w14:paraId="71F619F0" w14:textId="77777777" w:rsidR="00076776" w:rsidRDefault="00000000">
      <w:r>
        <w:t>Douglas forwarded the manuscripts to Sir Edward Bulwer Lytton, the colonial secretary in London, commenting that the maps formed “interesting additions to the topography of the Colony”</w:t>
      </w:r>
    </w:p>
    <w:p w14:paraId="094E0859" w14:textId="77777777" w:rsidR="00076776" w:rsidRDefault="00076776">
      <w:bookmarkStart w:id="50" w:name="_heading=h.1mrcu09" w:colFirst="0" w:colLast="0"/>
      <w:bookmarkEnd w:id="50"/>
    </w:p>
    <w:p w14:paraId="11A2F110" w14:textId="77777777" w:rsidR="00076776" w:rsidRDefault="00076776"/>
    <w:p w14:paraId="3306A52A" w14:textId="77777777" w:rsidR="00076776" w:rsidRDefault="00000000">
      <w:pPr>
        <w:pStyle w:val="Heading1"/>
      </w:pPr>
      <w:bookmarkStart w:id="51" w:name="_heading=h.46r0co2" w:colFirst="0" w:colLast="0"/>
      <w:bookmarkEnd w:id="51"/>
      <w:r>
        <w:t>Bibliography</w:t>
      </w:r>
    </w:p>
    <w:p w14:paraId="20FB187F" w14:textId="77777777" w:rsidR="00076776" w:rsidRDefault="00076776"/>
    <w:p w14:paraId="5BE78A9D" w14:textId="77777777" w:rsidR="00076776" w:rsidRDefault="00000000">
      <w:pPr>
        <w:spacing w:line="480" w:lineRule="auto"/>
        <w:jc w:val="center"/>
      </w:pPr>
      <w:r>
        <w:t>Works Cited</w:t>
      </w:r>
    </w:p>
    <w:p w14:paraId="5CBD9801" w14:textId="77777777" w:rsidR="00076776" w:rsidRDefault="00000000">
      <w:pPr>
        <w:spacing w:line="480" w:lineRule="auto"/>
        <w:ind w:left="720" w:hanging="720"/>
      </w:pPr>
      <w:r>
        <w:lastRenderedPageBreak/>
        <w:t xml:space="preserve">Asch, Michael, et al., editors. </w:t>
      </w:r>
      <w:r>
        <w:rPr>
          <w:i/>
        </w:rPr>
        <w:t>Resurgence and Reconciliation: Indigenous-Settler Relations and Earth Teachings</w:t>
      </w:r>
      <w:r>
        <w:t>. Toronto UP, 2018.</w:t>
      </w:r>
    </w:p>
    <w:p w14:paraId="707D3893" w14:textId="77777777" w:rsidR="00076776" w:rsidRDefault="00000000">
      <w:pPr>
        <w:spacing w:line="480" w:lineRule="auto"/>
        <w:ind w:left="720" w:hanging="720"/>
      </w:pPr>
      <w:r>
        <w:t xml:space="preserve">Barnd, </w:t>
      </w:r>
      <w:proofErr w:type="spellStart"/>
      <w:r>
        <w:t>Natchee</w:t>
      </w:r>
      <w:proofErr w:type="spellEnd"/>
      <w:r>
        <w:t xml:space="preserve"> Blu. </w:t>
      </w:r>
      <w:r>
        <w:rPr>
          <w:i/>
        </w:rPr>
        <w:t>Native Space: Geographic Strategies to Unsettle Settler Colonialism</w:t>
      </w:r>
      <w:r>
        <w:t xml:space="preserve">. Oregon State UP, 2017. </w:t>
      </w:r>
    </w:p>
    <w:p w14:paraId="0EF053EB" w14:textId="77777777" w:rsidR="00076776" w:rsidRDefault="00000000">
      <w:pPr>
        <w:spacing w:line="480" w:lineRule="auto"/>
        <w:ind w:left="720" w:hanging="720"/>
      </w:pPr>
      <w:r>
        <w:t xml:space="preserve">Berg, Lawrence. “Banal Naming, Neoliberalism, and Landscapes of Dispossession.” </w:t>
      </w:r>
      <w:r>
        <w:rPr>
          <w:i/>
        </w:rPr>
        <w:t>ACME</w:t>
      </w:r>
      <w:r>
        <w:t>, vol. 10, no. 1, 2011, pp. 13-22.</w:t>
      </w:r>
    </w:p>
    <w:p w14:paraId="34D0233B" w14:textId="77777777" w:rsidR="00076776" w:rsidRDefault="00000000">
      <w:pPr>
        <w:spacing w:line="480" w:lineRule="auto"/>
        <w:ind w:left="720" w:hanging="720"/>
      </w:pPr>
      <w:r>
        <w:t xml:space="preserve">Carter, Paul. </w:t>
      </w:r>
      <w:r>
        <w:rPr>
          <w:i/>
        </w:rPr>
        <w:t>The Road to Botany Bay</w:t>
      </w:r>
      <w:r>
        <w:t xml:space="preserve">. Minnesota UP, 1987. </w:t>
      </w:r>
    </w:p>
    <w:p w14:paraId="2FE46580" w14:textId="77777777" w:rsidR="00076776" w:rsidRDefault="00000000">
      <w:pPr>
        <w:spacing w:line="480" w:lineRule="auto"/>
        <w:ind w:left="720" w:hanging="720"/>
      </w:pPr>
      <w:r>
        <w:t xml:space="preserve">Christen, Kimberly. “Does Information Really Want to Be Free? Indigenous Knowledge Systems and the Question of Openness.” </w:t>
      </w:r>
      <w:r>
        <w:rPr>
          <w:i/>
        </w:rPr>
        <w:t>International Journal of Communication</w:t>
      </w:r>
      <w:r>
        <w:t xml:space="preserve">, vol. 6, 2012, pp. 2870-93. </w:t>
      </w:r>
      <w:r>
        <w:rPr>
          <w:i/>
        </w:rPr>
        <w:t>IJOC</w:t>
      </w:r>
      <w:r>
        <w:t xml:space="preserve">, https://ijoc.org/index.php/ijoc/article/view/1618/828. </w:t>
      </w:r>
    </w:p>
    <w:p w14:paraId="6816BBE2" w14:textId="77777777" w:rsidR="00076776" w:rsidRDefault="00000000">
      <w:pPr>
        <w:spacing w:line="480" w:lineRule="auto"/>
        <w:ind w:left="720" w:hanging="720"/>
      </w:pPr>
      <w:r>
        <w:t xml:space="preserve">Clayton, Daniel. </w:t>
      </w:r>
      <w:r>
        <w:rPr>
          <w:i/>
        </w:rPr>
        <w:t>Islands of Truth: The Imperial Fashioning of Vancouver Island</w:t>
      </w:r>
      <w:r>
        <w:t>. UBC Press, 2000.</w:t>
      </w:r>
    </w:p>
    <w:p w14:paraId="4B32CBE1" w14:textId="77777777" w:rsidR="00076776" w:rsidRDefault="00000000">
      <w:pPr>
        <w:spacing w:line="480" w:lineRule="auto"/>
        <w:ind w:left="720" w:hanging="720"/>
      </w:pPr>
      <w:r>
        <w:t xml:space="preserve">Cosgrove, Denis. “Cultural Cartography: Maps and Mapping in Cultural Geography.” </w:t>
      </w:r>
      <w:r>
        <w:rPr>
          <w:i/>
        </w:rPr>
        <w:t xml:space="preserve">Annales de </w:t>
      </w:r>
      <w:proofErr w:type="spellStart"/>
      <w:r>
        <w:rPr>
          <w:i/>
        </w:rPr>
        <w:t>Géographie</w:t>
      </w:r>
      <w:proofErr w:type="spellEnd"/>
      <w:r>
        <w:t>, vol. 117, no. 660/661, 2008, pp. 159-78.</w:t>
      </w:r>
    </w:p>
    <w:p w14:paraId="76C45D76" w14:textId="77777777" w:rsidR="00076776" w:rsidRDefault="00000000">
      <w:pPr>
        <w:spacing w:line="480" w:lineRule="auto"/>
        <w:ind w:left="720" w:hanging="720"/>
      </w:pPr>
      <w:r>
        <w:t xml:space="preserve">Davis, Lynne, et al. “Complicated Pathways: Settler Canadians Learning to Re/frame Themselves and Their Relationships with Indigenous Peoples.” </w:t>
      </w:r>
      <w:r>
        <w:rPr>
          <w:i/>
        </w:rPr>
        <w:t>Settler Colonial Studies</w:t>
      </w:r>
      <w:r>
        <w:t xml:space="preserve">, vol. 7, no. 4, 2016, pp. 398-414. </w:t>
      </w:r>
      <w:r>
        <w:rPr>
          <w:i/>
        </w:rPr>
        <w:t>Taylor &amp; Francis</w:t>
      </w:r>
      <w:r>
        <w:t xml:space="preserve">, doi.org/10.1080/2201473X.2016.1243086. </w:t>
      </w:r>
    </w:p>
    <w:p w14:paraId="66427931" w14:textId="77777777" w:rsidR="00076776" w:rsidRDefault="00000000">
      <w:pPr>
        <w:spacing w:line="480" w:lineRule="auto"/>
        <w:ind w:left="720" w:hanging="720"/>
      </w:pPr>
      <w:r>
        <w:t xml:space="preserve">De Leeuw, Sarah and Sarah Hunt. “Unsettling Decolonizing Geographies.” </w:t>
      </w:r>
      <w:r>
        <w:rPr>
          <w:i/>
        </w:rPr>
        <w:t>Geography Compass</w:t>
      </w:r>
      <w:r>
        <w:t xml:space="preserve">, vol. 12, no. 7, 2018, pp. 1-14. </w:t>
      </w:r>
      <w:r>
        <w:rPr>
          <w:i/>
        </w:rPr>
        <w:t>Wiley Online Library</w:t>
      </w:r>
      <w:r>
        <w:t xml:space="preserve">, doi.org/10.1111/gec3.12376. </w:t>
      </w:r>
    </w:p>
    <w:p w14:paraId="1F303A46" w14:textId="77777777" w:rsidR="00076776" w:rsidRDefault="00000000">
      <w:pPr>
        <w:spacing w:line="480" w:lineRule="auto"/>
        <w:ind w:left="720" w:hanging="720"/>
      </w:pPr>
      <w:r>
        <w:t xml:space="preserve">Duarte, Marisa. </w:t>
      </w:r>
      <w:r>
        <w:rPr>
          <w:i/>
        </w:rPr>
        <w:t>Network Sovereignty: Building the Internet Across Indian Country</w:t>
      </w:r>
      <w:r>
        <w:t>. Washington UP, 2017.</w:t>
      </w:r>
    </w:p>
    <w:p w14:paraId="1838515F" w14:textId="77777777" w:rsidR="00076776" w:rsidRDefault="00000000">
      <w:pPr>
        <w:spacing w:line="480" w:lineRule="auto"/>
        <w:ind w:left="720" w:hanging="720"/>
      </w:pPr>
      <w:r>
        <w:lastRenderedPageBreak/>
        <w:t xml:space="preserve">Earhart, Amy. “Can We Trust the </w:t>
      </w:r>
      <w:proofErr w:type="gramStart"/>
      <w:r>
        <w:t>University?:</w:t>
      </w:r>
      <w:proofErr w:type="gramEnd"/>
      <w:r>
        <w:t xml:space="preserve"> Digital Humanities Collaborations with Historically Exploited Cultural Communities.” </w:t>
      </w:r>
      <w:r>
        <w:rPr>
          <w:i/>
        </w:rPr>
        <w:t>Bodies of Information: Feminist Debates in Digital Humanities</w:t>
      </w:r>
      <w:r>
        <w:t xml:space="preserve">, edited by Jacqueline Wernimont and Elizabeth Losh, Minnesota UP, 2018, pp. 368-90. </w:t>
      </w:r>
      <w:r>
        <w:rPr>
          <w:i/>
        </w:rPr>
        <w:t>Debates in the Digital Humanities</w:t>
      </w:r>
      <w:r>
        <w:t>, https://dhdebates.gc.cuny.edu/projects/bodies-of-information.</w:t>
      </w:r>
    </w:p>
    <w:p w14:paraId="439656FE" w14:textId="77777777" w:rsidR="00076776" w:rsidRDefault="00000000">
      <w:pPr>
        <w:spacing w:line="480" w:lineRule="auto"/>
        <w:ind w:left="720" w:hanging="720"/>
      </w:pPr>
      <w:r>
        <w:t xml:space="preserve">Eckstein, Lars and Anja Schwarz. “The Making of Tupaia’s Map: A Story of the Extent and Mastery of Polynesian Navigation, Competing Systems of Wayfinding on James Cook’s </w:t>
      </w:r>
      <w:r>
        <w:rPr>
          <w:i/>
        </w:rPr>
        <w:t>Endeavour</w:t>
      </w:r>
      <w:r>
        <w:t xml:space="preserve">, and the Invention of an Ingenious Cartographic System.” </w:t>
      </w:r>
      <w:r>
        <w:rPr>
          <w:i/>
        </w:rPr>
        <w:t>The Journal of Pacific History</w:t>
      </w:r>
      <w:r>
        <w:t xml:space="preserve">, vol. 54, no. 1, 2019, pp. 1-95. </w:t>
      </w:r>
      <w:r>
        <w:rPr>
          <w:i/>
        </w:rPr>
        <w:t>Taylor &amp; Francis</w:t>
      </w:r>
      <w:r>
        <w:t xml:space="preserve">, doi.org/10.1080/00223344.2018.1512369. </w:t>
      </w:r>
    </w:p>
    <w:p w14:paraId="799431ED" w14:textId="77777777" w:rsidR="00076776" w:rsidRDefault="00000000">
      <w:pPr>
        <w:spacing w:line="480" w:lineRule="auto"/>
        <w:ind w:left="720" w:hanging="720"/>
      </w:pPr>
      <w:r>
        <w:t xml:space="preserve">Engel, Maureen. “Deep Mapping: Space, Place, and Narrative as Urban Interface.” </w:t>
      </w:r>
      <w:r>
        <w:rPr>
          <w:i/>
        </w:rPr>
        <w:t>The Routledge Companion to Media Studies and Digital Humanities</w:t>
      </w:r>
      <w:r>
        <w:t xml:space="preserve">, edited by </w:t>
      </w:r>
      <w:proofErr w:type="spellStart"/>
      <w:r>
        <w:t>Jentery</w:t>
      </w:r>
      <w:proofErr w:type="spellEnd"/>
      <w:r>
        <w:t xml:space="preserve"> Sayers, 1st ed., 2018, pp. 214-21. </w:t>
      </w:r>
      <w:r>
        <w:rPr>
          <w:i/>
        </w:rPr>
        <w:t>ERA</w:t>
      </w:r>
      <w:r>
        <w:t xml:space="preserve">, doi.org/10.7939/R3NK36M09. </w:t>
      </w:r>
    </w:p>
    <w:p w14:paraId="454C4144" w14:textId="77777777" w:rsidR="00076776" w:rsidRDefault="00000000">
      <w:pPr>
        <w:spacing w:line="480" w:lineRule="auto"/>
        <w:ind w:left="720" w:hanging="720"/>
      </w:pPr>
      <w:proofErr w:type="spellStart"/>
      <w:r>
        <w:t>Harely</w:t>
      </w:r>
      <w:proofErr w:type="spellEnd"/>
      <w:r>
        <w:t xml:space="preserve">, John. “Deconstructing the Map.” </w:t>
      </w:r>
      <w:proofErr w:type="spellStart"/>
      <w:r>
        <w:rPr>
          <w:i/>
        </w:rPr>
        <w:t>Cartographica</w:t>
      </w:r>
      <w:proofErr w:type="spellEnd"/>
      <w:r>
        <w:t xml:space="preserve">, vol. 26, no. 2, 1989, pp. 1-20. </w:t>
      </w:r>
      <w:r>
        <w:rPr>
          <w:i/>
        </w:rPr>
        <w:t>Passages</w:t>
      </w:r>
      <w:r>
        <w:t>, http://hdl.handle.net/2027/spo.4761530.0003.008.</w:t>
      </w:r>
    </w:p>
    <w:p w14:paraId="1970A466" w14:textId="77777777" w:rsidR="00076776" w:rsidRDefault="00000000">
      <w:pPr>
        <w:spacing w:line="480" w:lineRule="auto"/>
        <w:ind w:left="720" w:hanging="720"/>
      </w:pPr>
      <w:r>
        <w:t xml:space="preserve">Harris, Cole. </w:t>
      </w:r>
      <w:r>
        <w:rPr>
          <w:i/>
        </w:rPr>
        <w:t>Making Native Space: Colonialism, Resistance, and Reserves in British Columbia</w:t>
      </w:r>
      <w:r>
        <w:t>. UBC Press, 2003.</w:t>
      </w:r>
    </w:p>
    <w:p w14:paraId="115F969A" w14:textId="77777777" w:rsidR="00076776" w:rsidRDefault="00000000">
      <w:pPr>
        <w:spacing w:line="480" w:lineRule="auto"/>
        <w:ind w:left="720" w:hanging="720"/>
      </w:pPr>
      <w:r>
        <w:t xml:space="preserve">Huang, Yu-ting and Rebecca Weaver-Hightower. “Settler Colonialism and Its Cultural Archives: Ways of Reading.” </w:t>
      </w:r>
      <w:r>
        <w:rPr>
          <w:i/>
        </w:rPr>
        <w:t>Archiving Settler Colonialism Culture, Space and Race</w:t>
      </w:r>
      <w:r>
        <w:t xml:space="preserve">, edited by Yu-ting Huang and Rebecca Weaver-Hightower, 1st ed., Routledge, 2018, pp. 1-16. </w:t>
      </w:r>
    </w:p>
    <w:p w14:paraId="1B21589B" w14:textId="77777777" w:rsidR="00076776" w:rsidRDefault="00000000">
      <w:pPr>
        <w:spacing w:line="480" w:lineRule="auto"/>
        <w:ind w:left="720" w:hanging="720"/>
      </w:pPr>
      <w:proofErr w:type="spellStart"/>
      <w:r>
        <w:t>Kauanui</w:t>
      </w:r>
      <w:proofErr w:type="spellEnd"/>
      <w:r>
        <w:t xml:space="preserve">, J. Kēhaulani. “‘A Structure, Not an Event’: Settler Colonialism and Enduring Indigeneity.” </w:t>
      </w:r>
      <w:r>
        <w:rPr>
          <w:i/>
        </w:rPr>
        <w:t>Journal of Cultural Studies Association</w:t>
      </w:r>
      <w:r>
        <w:t xml:space="preserve">, no. 5.1, 2016. </w:t>
      </w:r>
      <w:r>
        <w:rPr>
          <w:i/>
        </w:rPr>
        <w:t>Lateral</w:t>
      </w:r>
      <w:r>
        <w:t xml:space="preserve">, doi.org/10.25158/L5.1.7. </w:t>
      </w:r>
    </w:p>
    <w:p w14:paraId="6950F0CC" w14:textId="77777777" w:rsidR="00076776" w:rsidRDefault="00000000">
      <w:pPr>
        <w:spacing w:line="480" w:lineRule="auto"/>
        <w:ind w:left="720" w:hanging="720"/>
      </w:pPr>
      <w:r>
        <w:lastRenderedPageBreak/>
        <w:t xml:space="preserve">Kovach, Margaret. </w:t>
      </w:r>
      <w:r>
        <w:rPr>
          <w:i/>
        </w:rPr>
        <w:t>Indigenous Methodologies: Characteristics, Conversations, and Contexts</w:t>
      </w:r>
      <w:r>
        <w:t>. Toronto UP, 2010.</w:t>
      </w:r>
    </w:p>
    <w:p w14:paraId="6132AEAE" w14:textId="77777777" w:rsidR="00076776" w:rsidRDefault="00000000">
      <w:pPr>
        <w:spacing w:line="480" w:lineRule="auto"/>
        <w:ind w:left="720" w:hanging="720"/>
      </w:pPr>
      <w:r>
        <w:t xml:space="preserve">Layland, Michael. </w:t>
      </w:r>
      <w:r>
        <w:rPr>
          <w:i/>
        </w:rPr>
        <w:t>The Land of Heart's Delight: Early Maps and Charts of Vancouver Island</w:t>
      </w:r>
      <w:r>
        <w:t>. Touch Wood Editions, 2013.</w:t>
      </w:r>
    </w:p>
    <w:p w14:paraId="70642A9D" w14:textId="77777777" w:rsidR="00076776" w:rsidRDefault="00000000">
      <w:pPr>
        <w:spacing w:line="480" w:lineRule="auto"/>
        <w:ind w:left="720" w:hanging="720"/>
      </w:pPr>
      <w:r>
        <w:t xml:space="preserve">Lutz, John. </w:t>
      </w:r>
      <w:r>
        <w:rPr>
          <w:i/>
        </w:rPr>
        <w:t>Makúk: A New History of Aboriginal-White Relations</w:t>
      </w:r>
      <w:r>
        <w:t>. UBC Press, 2009.</w:t>
      </w:r>
    </w:p>
    <w:p w14:paraId="4DC3CE55" w14:textId="77777777" w:rsidR="00076776" w:rsidRDefault="00000000">
      <w:pPr>
        <w:spacing w:line="480" w:lineRule="auto"/>
        <w:ind w:left="720" w:hanging="720"/>
      </w:pPr>
      <w:r>
        <w:t xml:space="preserve">Manuel, George and Michael Posluns. </w:t>
      </w:r>
      <w:r>
        <w:rPr>
          <w:i/>
        </w:rPr>
        <w:t>The Fourth World: An Indian Reality</w:t>
      </w:r>
      <w:r>
        <w:t>. Minnesota UP, 2019.</w:t>
      </w:r>
    </w:p>
    <w:p w14:paraId="6BCF721C" w14:textId="77777777" w:rsidR="00076776" w:rsidRDefault="00000000">
      <w:pPr>
        <w:spacing w:line="480" w:lineRule="auto"/>
        <w:ind w:left="720" w:hanging="720"/>
      </w:pPr>
      <w:r>
        <w:t xml:space="preserve">Mogel, Lize and Alexis Bhagat. </w:t>
      </w:r>
      <w:r>
        <w:rPr>
          <w:i/>
        </w:rPr>
        <w:t>An Atlas of Radical Cartography</w:t>
      </w:r>
      <w:r>
        <w:t xml:space="preserve">. Journal of Aesthetics and Protest Press, 2004. </w:t>
      </w:r>
    </w:p>
    <w:p w14:paraId="10599735" w14:textId="77777777" w:rsidR="00076776" w:rsidRDefault="00000000">
      <w:pPr>
        <w:spacing w:line="480" w:lineRule="auto"/>
        <w:ind w:left="720" w:hanging="720"/>
      </w:pPr>
      <w:proofErr w:type="spellStart"/>
      <w:r>
        <w:t>Monmonier</w:t>
      </w:r>
      <w:proofErr w:type="spellEnd"/>
      <w:r>
        <w:t xml:space="preserve">, Mark. </w:t>
      </w:r>
      <w:r>
        <w:rPr>
          <w:i/>
        </w:rPr>
        <w:t>How to Lie with Maps</w:t>
      </w:r>
      <w:r>
        <w:t>. 3rd ed., Chicago UP, 2018.</w:t>
      </w:r>
    </w:p>
    <w:p w14:paraId="580A8978" w14:textId="77777777" w:rsidR="00076776" w:rsidRDefault="00000000">
      <w:pPr>
        <w:spacing w:line="480" w:lineRule="auto"/>
        <w:ind w:left="720" w:hanging="720"/>
      </w:pPr>
      <w:proofErr w:type="spellStart"/>
      <w:r>
        <w:t>Murphyao</w:t>
      </w:r>
      <w:proofErr w:type="spellEnd"/>
      <w:r>
        <w:t xml:space="preserve">, Amanda and Kelly Black. “Unsettling Settler Belonging: (Re)naming and Territory Making in the Pacific Northwest.” </w:t>
      </w:r>
      <w:r>
        <w:rPr>
          <w:i/>
        </w:rPr>
        <w:t>American Review of Canadian Studies</w:t>
      </w:r>
      <w:r>
        <w:t xml:space="preserve">, vol. 45, no. 3, pp. 315-31. </w:t>
      </w:r>
      <w:r>
        <w:rPr>
          <w:i/>
        </w:rPr>
        <w:t>Taylor &amp; Francis</w:t>
      </w:r>
      <w:r>
        <w:t>, doi.org/10.1080/02722011.2015.1063523.</w:t>
      </w:r>
    </w:p>
    <w:p w14:paraId="2748A9CB" w14:textId="77777777" w:rsidR="00076776" w:rsidRDefault="00000000">
      <w:pPr>
        <w:spacing w:line="480" w:lineRule="auto"/>
        <w:ind w:left="720" w:hanging="720"/>
      </w:pPr>
      <w:proofErr w:type="spellStart"/>
      <w:r>
        <w:t>Orangotango</w:t>
      </w:r>
      <w:proofErr w:type="spellEnd"/>
      <w:r>
        <w:t xml:space="preserve">+, </w:t>
      </w:r>
      <w:proofErr w:type="spellStart"/>
      <w:r>
        <w:t>Kollektiv</w:t>
      </w:r>
      <w:proofErr w:type="spellEnd"/>
      <w:r>
        <w:t xml:space="preserve">, editors. </w:t>
      </w:r>
      <w:r>
        <w:rPr>
          <w:i/>
        </w:rPr>
        <w:t>This Is Not an Atlas: A Global Collection of Counter-Cartographies</w:t>
      </w:r>
      <w:r>
        <w:t>. Verlag, 2018. www.transcript-verlag.de/shopMedia/openaccess/pdf/oa9783839445198.pdf.</w:t>
      </w:r>
    </w:p>
    <w:p w14:paraId="29A6AB7C" w14:textId="77777777" w:rsidR="00076776" w:rsidRDefault="00000000">
      <w:pPr>
        <w:spacing w:line="480" w:lineRule="auto"/>
        <w:ind w:left="720" w:hanging="720"/>
      </w:pPr>
      <w:r>
        <w:t xml:space="preserve">Price, John and Nick Claxton. “Whose Land Is It? Rethinking Sovereignty in British Columbia.” </w:t>
      </w:r>
      <w:r>
        <w:rPr>
          <w:i/>
        </w:rPr>
        <w:t>BC Studies</w:t>
      </w:r>
      <w:r>
        <w:t>, no. 204, 2020, pp. 115-38. doi.org/10.14288/</w:t>
      </w:r>
      <w:proofErr w:type="gramStart"/>
      <w:r>
        <w:t>bcs.v</w:t>
      </w:r>
      <w:proofErr w:type="gramEnd"/>
      <w:r>
        <w:t xml:space="preserve">0i204.191508. </w:t>
      </w:r>
    </w:p>
    <w:p w14:paraId="7A0D8C9C" w14:textId="77777777" w:rsidR="00076776" w:rsidRDefault="00000000">
      <w:pPr>
        <w:spacing w:line="480" w:lineRule="auto"/>
        <w:ind w:left="720" w:hanging="720"/>
      </w:pPr>
      <w:r>
        <w:t xml:space="preserve">Rifkin, Mark. </w:t>
      </w:r>
      <w:r>
        <w:rPr>
          <w:i/>
        </w:rPr>
        <w:t>Beyond Settler Time</w:t>
      </w:r>
      <w:r>
        <w:t>. Duke UP, 2017.</w:t>
      </w:r>
    </w:p>
    <w:p w14:paraId="74D83155" w14:textId="77777777" w:rsidR="00076776" w:rsidRDefault="00000000">
      <w:pPr>
        <w:spacing w:line="480" w:lineRule="auto"/>
        <w:ind w:left="720" w:hanging="720"/>
      </w:pPr>
      <w:proofErr w:type="spellStart"/>
      <w:r>
        <w:t>Risam</w:t>
      </w:r>
      <w:proofErr w:type="spellEnd"/>
      <w:r>
        <w:t xml:space="preserve">, Roopika. “Telling Untold Stories: Digital Textual Recovery Methods.” </w:t>
      </w:r>
      <w:r>
        <w:rPr>
          <w:i/>
        </w:rPr>
        <w:t>Research Methods for the Digital Humanities</w:t>
      </w:r>
      <w:r>
        <w:t>, edited by Lewis Levenberg, et al., Palgrave Macmillan, Cham, 2018, pp. 309-18. doi.org/10.1007/978-3-319-96713-4.</w:t>
      </w:r>
    </w:p>
    <w:p w14:paraId="24E9830A" w14:textId="77777777" w:rsidR="00076776" w:rsidRDefault="00000000">
      <w:pPr>
        <w:spacing w:line="480" w:lineRule="auto"/>
        <w:ind w:left="720" w:hanging="720"/>
      </w:pPr>
      <w:r>
        <w:lastRenderedPageBreak/>
        <w:t xml:space="preserve">Rose-Redwood, Reuben. “Introduction: The Limits to Deconstructing the Map.” </w:t>
      </w:r>
      <w:proofErr w:type="spellStart"/>
      <w:r>
        <w:rPr>
          <w:i/>
        </w:rPr>
        <w:t>Cartographica</w:t>
      </w:r>
      <w:proofErr w:type="spellEnd"/>
      <w:r>
        <w:t>, vol. 50, no. 1, 2015, pp. 1-8. doi.org/10.3138/carto.50.1.01.</w:t>
      </w:r>
    </w:p>
    <w:p w14:paraId="2D54E589" w14:textId="77777777" w:rsidR="00076776" w:rsidRDefault="00000000">
      <w:pPr>
        <w:spacing w:line="480" w:lineRule="auto"/>
        <w:ind w:left="720" w:hanging="720"/>
      </w:pPr>
      <w:r>
        <w:t xml:space="preserve">---. “‘Reclaim, Rename, Reoccupy’: Decolonizing Place and the Reclaiming of PKOLS.” </w:t>
      </w:r>
      <w:r>
        <w:rPr>
          <w:i/>
        </w:rPr>
        <w:t>ACME</w:t>
      </w:r>
      <w:r>
        <w:t>, vol. 15, no. 1, 2016, pp. 187-206. acme-journal.org/</w:t>
      </w:r>
      <w:proofErr w:type="spellStart"/>
      <w:r>
        <w:t>index.php</w:t>
      </w:r>
      <w:proofErr w:type="spellEnd"/>
      <w:r>
        <w:t>/acme/article/view/1215/1167.</w:t>
      </w:r>
    </w:p>
    <w:p w14:paraId="2CF67683" w14:textId="77777777" w:rsidR="00076776" w:rsidRDefault="00000000">
      <w:pPr>
        <w:spacing w:line="480" w:lineRule="auto"/>
        <w:ind w:left="720" w:hanging="720"/>
      </w:pPr>
      <w:r>
        <w:t xml:space="preserve">---. “Rethinking the Agenda of Political Toponymy.” </w:t>
      </w:r>
      <w:r>
        <w:rPr>
          <w:i/>
        </w:rPr>
        <w:t>ACME</w:t>
      </w:r>
      <w:r>
        <w:t>, vol. 10, no. 1, 2011, pp. 34-41. acme-journal.org/</w:t>
      </w:r>
      <w:proofErr w:type="spellStart"/>
      <w:r>
        <w:t>index.php</w:t>
      </w:r>
      <w:proofErr w:type="spellEnd"/>
      <w:r>
        <w:t>/acme/article/view/884/740.</w:t>
      </w:r>
    </w:p>
    <w:p w14:paraId="062D4CD8" w14:textId="77777777" w:rsidR="00076776" w:rsidRDefault="00000000">
      <w:pPr>
        <w:spacing w:line="480" w:lineRule="auto"/>
        <w:ind w:left="720" w:hanging="720"/>
      </w:pPr>
      <w:r>
        <w:t xml:space="preserve">Rose-Redwood, Reuben, et al. “Geographies of Toponymic Inscription: New Directions in Critical Place-Name Studies.” </w:t>
      </w:r>
      <w:r>
        <w:rPr>
          <w:i/>
        </w:rPr>
        <w:t>Progress in Human Geography</w:t>
      </w:r>
      <w:r>
        <w:t>, vol. 34, no. 4, 2010, pp. 453-70.</w:t>
      </w:r>
    </w:p>
    <w:p w14:paraId="12E9B85D" w14:textId="77777777" w:rsidR="00076776" w:rsidRDefault="00000000">
      <w:pPr>
        <w:spacing w:line="480" w:lineRule="auto"/>
        <w:ind w:left="720" w:hanging="720"/>
      </w:pPr>
      <w:r>
        <w:t xml:space="preserve">Simpson, Leanne Betasamosake. “Land as Pedagogy: Nishnaabeg Intelligence and Rebellious Transformation.” </w:t>
      </w:r>
      <w:r>
        <w:rPr>
          <w:i/>
        </w:rPr>
        <w:t>Decolonization: Indigeneity, Education and Society</w:t>
      </w:r>
      <w:r>
        <w:t>, vol. 3, no. 3, 2014, pp. 1-25. jps.library.utoronto.ca/</w:t>
      </w:r>
      <w:proofErr w:type="spellStart"/>
      <w:r>
        <w:t>index.php</w:t>
      </w:r>
      <w:proofErr w:type="spellEnd"/>
      <w:r>
        <w:t>/des/article/view/22170/17985.</w:t>
      </w:r>
    </w:p>
    <w:p w14:paraId="2B527C9C" w14:textId="77777777" w:rsidR="00076776" w:rsidRDefault="00000000">
      <w:pPr>
        <w:spacing w:line="480" w:lineRule="auto"/>
        <w:ind w:left="720" w:hanging="720"/>
      </w:pPr>
      <w:r>
        <w:t xml:space="preserve">Smith, Linda Tuhiwai, et al., editors. </w:t>
      </w:r>
      <w:r>
        <w:rPr>
          <w:i/>
        </w:rPr>
        <w:t>Indigenous and Decolonizing Studies in Education: Mapping the Long View</w:t>
      </w:r>
      <w:r>
        <w:t>. Routledge, 2018.</w:t>
      </w:r>
    </w:p>
    <w:p w14:paraId="168348B0" w14:textId="77777777" w:rsidR="00076776" w:rsidRDefault="00000000">
      <w:pPr>
        <w:spacing w:line="480" w:lineRule="auto"/>
        <w:ind w:left="720" w:hanging="720"/>
      </w:pPr>
      <w:r>
        <w:t xml:space="preserve">Sparke, Matthew. “A Map that Roared and an Original Atlas: Canada, Cartography, and the Narration of Nation.” </w:t>
      </w:r>
      <w:r>
        <w:rPr>
          <w:i/>
        </w:rPr>
        <w:t>Annals of the Association of American Geographers</w:t>
      </w:r>
      <w:r>
        <w:t>, vol. 88, no. 3, 1998, pp. 463-95. doi.org/10.1111/0004-5608.00109.</w:t>
      </w:r>
    </w:p>
    <w:p w14:paraId="45883D83" w14:textId="77777777" w:rsidR="00076776" w:rsidRDefault="00000000">
      <w:pPr>
        <w:spacing w:line="480" w:lineRule="auto"/>
        <w:ind w:left="720" w:hanging="720"/>
      </w:pPr>
      <w:r>
        <w:t xml:space="preserve">Tuck, Eve and K Wayne Yang. “Decolonization is Not a Metaphor.” </w:t>
      </w:r>
      <w:r>
        <w:rPr>
          <w:i/>
        </w:rPr>
        <w:t>Decolonization: Indigeneity, Education &amp; Society</w:t>
      </w:r>
      <w:r>
        <w:t>, vol. 1, no. 1, 2012, pp. 1-40. jps.library.utoronto.ca/</w:t>
      </w:r>
      <w:proofErr w:type="spellStart"/>
      <w:r>
        <w:t>index.php</w:t>
      </w:r>
      <w:proofErr w:type="spellEnd"/>
      <w:r>
        <w:t>/des/article/view/18630/15554.</w:t>
      </w:r>
    </w:p>
    <w:p w14:paraId="16AC9F90" w14:textId="77777777" w:rsidR="00076776" w:rsidRDefault="00000000">
      <w:pPr>
        <w:spacing w:line="480" w:lineRule="auto"/>
        <w:ind w:left="720" w:hanging="720"/>
      </w:pPr>
      <w:r>
        <w:lastRenderedPageBreak/>
        <w:t xml:space="preserve">Tucker, Brian and Reuben Rose-Redwood. “Decolonizing the map? Toponymic Politics and the Rescaling of the Salish Sea.” </w:t>
      </w:r>
      <w:r>
        <w:rPr>
          <w:i/>
        </w:rPr>
        <w:t>The Canadian Geographer</w:t>
      </w:r>
      <w:r>
        <w:t xml:space="preserve">, vol. 59, no. 2, 2015, pp. 194-206. </w:t>
      </w:r>
      <w:r>
        <w:rPr>
          <w:i/>
        </w:rPr>
        <w:t>Wiley Online Library</w:t>
      </w:r>
      <w:r>
        <w:t>, doi.org/10.1111/cag.12140.</w:t>
      </w:r>
    </w:p>
    <w:p w14:paraId="77720A09" w14:textId="77777777" w:rsidR="00076776" w:rsidRDefault="00000000">
      <w:pPr>
        <w:spacing w:line="480" w:lineRule="auto"/>
        <w:ind w:left="720" w:hanging="720"/>
      </w:pPr>
      <w:proofErr w:type="spellStart"/>
      <w:r>
        <w:t>Umeek</w:t>
      </w:r>
      <w:proofErr w:type="spellEnd"/>
      <w:r>
        <w:t xml:space="preserve"> (Atleo), Richard. </w:t>
      </w:r>
      <w:r>
        <w:rPr>
          <w:i/>
        </w:rPr>
        <w:t xml:space="preserve">Principles of </w:t>
      </w:r>
      <w:proofErr w:type="spellStart"/>
      <w:r>
        <w:rPr>
          <w:i/>
        </w:rPr>
        <w:t>Tsawalk</w:t>
      </w:r>
      <w:proofErr w:type="spellEnd"/>
      <w:r>
        <w:rPr>
          <w:i/>
        </w:rPr>
        <w:t>: An Indigenous Approach to Global Crisis</w:t>
      </w:r>
      <w:r>
        <w:t>. UBC Press, 2011.</w:t>
      </w:r>
    </w:p>
    <w:p w14:paraId="6CF7FA58" w14:textId="77777777" w:rsidR="00076776" w:rsidRDefault="00000000">
      <w:pPr>
        <w:spacing w:line="480" w:lineRule="auto"/>
        <w:ind w:left="720" w:hanging="720"/>
      </w:pPr>
      <w:proofErr w:type="spellStart"/>
      <w:r>
        <w:t>Wemigwans</w:t>
      </w:r>
      <w:proofErr w:type="spellEnd"/>
      <w:r>
        <w:t xml:space="preserve">, Jennifer. </w:t>
      </w:r>
      <w:r>
        <w:rPr>
          <w:i/>
        </w:rPr>
        <w:t>A Digital Bundle: Protecting and Promoting Indigenous Knowledge Online</w:t>
      </w:r>
      <w:r>
        <w:t>. Regina UP, 2018.</w:t>
      </w:r>
    </w:p>
    <w:p w14:paraId="004C0493" w14:textId="77777777" w:rsidR="00076776" w:rsidRDefault="00000000">
      <w:pPr>
        <w:spacing w:line="480" w:lineRule="auto"/>
        <w:ind w:left="720" w:hanging="720"/>
      </w:pPr>
      <w:r>
        <w:t xml:space="preserve">Wolfe, Patrick. “Settler Colonialism and the Elimination of the Native.” </w:t>
      </w:r>
      <w:r>
        <w:rPr>
          <w:i/>
        </w:rPr>
        <w:t>Journal of Genocide Research</w:t>
      </w:r>
      <w:r>
        <w:t xml:space="preserve">, vol. 8, no. 4, 2006, pp. 387-409. </w:t>
      </w:r>
      <w:r>
        <w:rPr>
          <w:i/>
        </w:rPr>
        <w:t>Taylor &amp; Francis</w:t>
      </w:r>
      <w:r>
        <w:t>, doi.org/10.1080/14623520601056240.</w:t>
      </w:r>
    </w:p>
    <w:p w14:paraId="7F581F97" w14:textId="64E97732" w:rsidR="00076776" w:rsidRDefault="00000000">
      <w:pPr>
        <w:pStyle w:val="Heading1"/>
      </w:pPr>
      <w:bookmarkStart w:id="52" w:name="_heading=h.2lwamvv" w:colFirst="0" w:colLast="0"/>
      <w:bookmarkEnd w:id="52"/>
      <w:r>
        <w:t xml:space="preserve">&gt;&gt;&gt; </w:t>
      </w:r>
      <w:r w:rsidR="00BF75F6">
        <w:t xml:space="preserve">Section template </w:t>
      </w:r>
      <w:r>
        <w:t>&lt;&lt;&lt;</w:t>
      </w:r>
    </w:p>
    <w:p w14:paraId="72C0D9CB" w14:textId="77777777" w:rsidR="00076776" w:rsidRDefault="00000000">
      <w:pPr>
        <w:pStyle w:val="Heading2"/>
      </w:pPr>
      <w:r>
        <w:t>(0000) Author, Title</w:t>
      </w:r>
    </w:p>
    <w:p w14:paraId="6B702539" w14:textId="77777777" w:rsidR="00076776" w:rsidRDefault="00076776"/>
    <w:p w14:paraId="4850EBE0" w14:textId="77777777" w:rsidR="00076776" w:rsidRDefault="00000000">
      <w:pPr>
        <w:pStyle w:val="Heading2"/>
      </w:pPr>
      <w:r>
        <w:t>Abstract</w:t>
      </w:r>
    </w:p>
    <w:p w14:paraId="6375C711" w14:textId="77777777" w:rsidR="00076776" w:rsidRDefault="00000000">
      <w:r>
        <w:t>[One sentence about the work in my own words.]</w:t>
      </w:r>
    </w:p>
    <w:p w14:paraId="3862B716" w14:textId="77777777" w:rsidR="00076776" w:rsidRDefault="00076776"/>
    <w:p w14:paraId="3E168DA6" w14:textId="77777777" w:rsidR="00076776" w:rsidRDefault="00000000">
      <w:pPr>
        <w:pStyle w:val="Heading2"/>
      </w:pPr>
      <w:r>
        <w:t>Key words</w:t>
      </w:r>
    </w:p>
    <w:p w14:paraId="0244FE2A" w14:textId="77777777" w:rsidR="00076776" w:rsidRDefault="00000000">
      <w:r>
        <w:t>[Try to prioritize key words from the work over your own sense of it.]</w:t>
      </w:r>
    </w:p>
    <w:p w14:paraId="2BD7311B" w14:textId="77777777" w:rsidR="00076776" w:rsidRDefault="00076776"/>
    <w:p w14:paraId="798393DA" w14:textId="77777777" w:rsidR="00076776" w:rsidRDefault="00000000">
      <w:pPr>
        <w:pStyle w:val="Heading2"/>
      </w:pPr>
      <w:r>
        <w:t>Essential quote</w:t>
      </w:r>
    </w:p>
    <w:p w14:paraId="47CC0822" w14:textId="77777777" w:rsidR="00076776" w:rsidRDefault="00000000">
      <w:r>
        <w:t>[</w:t>
      </w:r>
      <w:r>
        <w:rPr>
          <w:i/>
        </w:rPr>
        <w:t>One</w:t>
      </w:r>
      <w:r>
        <w:t xml:space="preserve"> quote that you feel speaks to/for the whole work.]</w:t>
      </w:r>
    </w:p>
    <w:p w14:paraId="7960D671" w14:textId="77777777" w:rsidR="00076776" w:rsidRDefault="00076776"/>
    <w:p w14:paraId="130FA1F1" w14:textId="77777777" w:rsidR="00076776" w:rsidRDefault="00000000">
      <w:pPr>
        <w:pStyle w:val="Heading2"/>
      </w:pPr>
      <w:r>
        <w:t>Terms</w:t>
      </w:r>
    </w:p>
    <w:p w14:paraId="59C45BD0" w14:textId="77777777" w:rsidR="00076776" w:rsidRDefault="00000000">
      <w:r>
        <w:t>[Any useful terms, concepts, or definitions that might be useful.]</w:t>
      </w:r>
    </w:p>
    <w:p w14:paraId="5D031C6B" w14:textId="77777777" w:rsidR="00076776" w:rsidRDefault="00076776"/>
    <w:p w14:paraId="5B661740" w14:textId="77777777" w:rsidR="00076776" w:rsidRDefault="00000000">
      <w:pPr>
        <w:pStyle w:val="Heading2"/>
      </w:pPr>
      <w:r>
        <w:t>Core quotes</w:t>
      </w:r>
    </w:p>
    <w:p w14:paraId="7696DF0B" w14:textId="77777777" w:rsidR="00076776" w:rsidRDefault="00000000">
      <w:r>
        <w:t>[Quotes for FF exam answers. Maximum 3 pages!]</w:t>
      </w:r>
    </w:p>
    <w:p w14:paraId="14F79F50" w14:textId="77777777" w:rsidR="00076776" w:rsidRDefault="00076776"/>
    <w:p w14:paraId="7AA76C58" w14:textId="77777777" w:rsidR="00076776" w:rsidRDefault="00000000">
      <w:pPr>
        <w:pStyle w:val="Heading2"/>
      </w:pPr>
      <w:r>
        <w:lastRenderedPageBreak/>
        <w:t>Secondary quotes</w:t>
      </w:r>
    </w:p>
    <w:p w14:paraId="03F45339" w14:textId="77777777" w:rsidR="00076776" w:rsidRDefault="00000000">
      <w:r>
        <w:t>[Interesting quotes, but not related directly to my FF exams, that could be used in future work. List page number and a bit of the quote, or my own words about what to find and where.]</w:t>
      </w:r>
    </w:p>
    <w:p w14:paraId="4F2970B9" w14:textId="77777777" w:rsidR="00076776" w:rsidRDefault="00076776"/>
    <w:p w14:paraId="03D639D5" w14:textId="77777777" w:rsidR="00076776" w:rsidRDefault="00000000">
      <w:pPr>
        <w:pStyle w:val="Heading2"/>
      </w:pPr>
      <w:r>
        <w:t>Notes</w:t>
      </w:r>
    </w:p>
    <w:p w14:paraId="4C7564F0" w14:textId="77777777" w:rsidR="00076776" w:rsidRDefault="00000000">
      <w:r>
        <w:t>[Optional section that contains reflections, critiques, or challenges to the arguments in the work, as well as any links to resources related to the work.]</w:t>
      </w:r>
    </w:p>
    <w:p w14:paraId="4EAE2CBE" w14:textId="77777777" w:rsidR="00076776" w:rsidRDefault="00076776"/>
    <w:p w14:paraId="75AB8107" w14:textId="77777777" w:rsidR="00076776" w:rsidRDefault="00076776"/>
    <w:sectPr w:rsidR="00076776">
      <w:headerReference w:type="default" r:id="rId44"/>
      <w:pgSz w:w="12240" w:h="15840"/>
      <w:pgMar w:top="1440" w:right="1440" w:bottom="1440" w:left="1440" w:header="708"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15E9E" w14:textId="77777777" w:rsidR="00081C0B" w:rsidRDefault="00081C0B">
      <w:r>
        <w:separator/>
      </w:r>
    </w:p>
  </w:endnote>
  <w:endnote w:type="continuationSeparator" w:id="0">
    <w:p w14:paraId="4AC320D9" w14:textId="77777777" w:rsidR="00081C0B" w:rsidRDefault="00081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890BC112-C34B-8D49-A155-69111CED48ED}"/>
  </w:font>
  <w:font w:name="Times New Roman">
    <w:panose1 w:val="02020603050405020304"/>
    <w:charset w:val="00"/>
    <w:family w:val="roman"/>
    <w:pitch w:val="variable"/>
    <w:sig w:usb0="E0002EFF" w:usb1="C000785B" w:usb2="00000009" w:usb3="00000000" w:csb0="000001FF" w:csb1="00000000"/>
    <w:embedRegular r:id="rId3" w:fontKey="{C74BBDF0-3E92-964E-93E8-A096BED00F65}"/>
    <w:embedBold r:id="rId4" w:fontKey="{7F0CC372-024F-DF45-91BD-95E4CF9AEB3F}"/>
    <w:embedItalic r:id="rId5" w:fontKey="{BD8E0522-92E8-5140-B50E-60A3F996B371}"/>
    <w:embedBoldItalic r:id="rId6" w:fontKey="{8C67652C-2477-5043-BE82-D78EBCAD3527}"/>
  </w:font>
  <w:font w:name="Calibri">
    <w:panose1 w:val="020F0502020204030204"/>
    <w:charset w:val="00"/>
    <w:family w:val="swiss"/>
    <w:pitch w:val="variable"/>
    <w:sig w:usb0="E0002AFF" w:usb1="C000247B" w:usb2="00000009" w:usb3="00000000" w:csb0="000001FF" w:csb1="00000000"/>
    <w:embedRegular r:id="rId7" w:fontKey="{64D2420A-529C-7A4B-841A-DA09F6D18612}"/>
    <w:embedBold r:id="rId8" w:fontKey="{30D9CBBC-5F79-6C44-8929-ABC6E3CD4D8F}"/>
    <w:embedItalic r:id="rId9" w:fontKey="{F302A7F1-B4D9-9243-B8B7-ECFF53AC1526}"/>
    <w:embedBoldItalic r:id="rId10" w:fontKey="{FA9383F7-7565-7347-A6B3-148AF8FDF479}"/>
  </w:font>
  <w:font w:name="Times New Roman (Body CS)">
    <w:panose1 w:val="020B0604020202020204"/>
    <w:charset w:val="00"/>
    <w:family w:val="roman"/>
    <w:pitch w:val="default"/>
  </w:font>
  <w:font w:name="Noto Sans CJK SC">
    <w:panose1 w:val="020B0604020202020204"/>
    <w:charset w:val="00"/>
    <w:family w:val="roman"/>
    <w:pitch w:val="default"/>
  </w:font>
  <w:font w:name="Lohit Devanagari">
    <w:panose1 w:val="020B0604020202020204"/>
    <w:charset w:val="00"/>
    <w:family w:val="roman"/>
    <w:pitch w:val="default"/>
  </w:font>
  <w:font w:name="Liberation Sans">
    <w:altName w:val="Arial"/>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embedBold r:id="rId18" w:fontKey="{581FB9F4-D77D-A743-AA64-104D17F038AC}"/>
  </w:font>
  <w:font w:name="Times">
    <w:altName w:val="Times New Roman"/>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embedRegular r:id="rId24" w:fontKey="{1C3EC09F-7FDE-2D4A-8F35-780BFA0C0BD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F9100" w14:textId="77777777" w:rsidR="00081C0B" w:rsidRDefault="00081C0B">
      <w:r>
        <w:separator/>
      </w:r>
    </w:p>
  </w:footnote>
  <w:footnote w:type="continuationSeparator" w:id="0">
    <w:p w14:paraId="67BB26E4" w14:textId="77777777" w:rsidR="00081C0B" w:rsidRDefault="00081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9D675" w14:textId="77777777" w:rsidR="00076776" w:rsidRDefault="00000000">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sidR="00852F50">
      <w:rPr>
        <w:noProof/>
        <w:color w:val="000000"/>
      </w:rPr>
      <w:t>2</w:t>
    </w:r>
    <w:r>
      <w:rPr>
        <w:color w:val="000000"/>
      </w:rPr>
      <w:fldChar w:fldCharType="end"/>
    </w:r>
  </w:p>
  <w:p w14:paraId="3C950A51" w14:textId="77777777" w:rsidR="00076776" w:rsidRDefault="00000000">
    <w:pPr>
      <w:pBdr>
        <w:top w:val="nil"/>
        <w:left w:val="nil"/>
        <w:bottom w:val="nil"/>
        <w:right w:val="nil"/>
        <w:between w:val="nil"/>
      </w:pBdr>
      <w:tabs>
        <w:tab w:val="center" w:pos="4680"/>
        <w:tab w:val="right" w:pos="9360"/>
      </w:tabs>
      <w:ind w:right="360"/>
      <w:jc w:val="both"/>
      <w:rPr>
        <w:color w:val="000000"/>
      </w:rPr>
    </w:pPr>
    <w:r>
      <w:rPr>
        <w:color w:val="000000"/>
      </w:rPr>
      <w:tab/>
      <w:t xml:space="preserve">                                                                                                             Shortreed FF Notes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31475"/>
    <w:multiLevelType w:val="multilevel"/>
    <w:tmpl w:val="0A188C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F629E4"/>
    <w:multiLevelType w:val="multilevel"/>
    <w:tmpl w:val="9BB04DBA"/>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2.%3.%4"/>
      <w:lvlJc w:val="left"/>
      <w:pPr>
        <w:ind w:left="2880" w:hanging="360"/>
      </w:pPr>
    </w:lvl>
    <w:lvl w:ilvl="4">
      <w:start w:val="1"/>
      <w:numFmt w:val="lowerLetter"/>
      <w:lvlText w:val="%3.%4.%5"/>
      <w:lvlJc w:val="left"/>
      <w:pPr>
        <w:ind w:left="3600" w:hanging="360"/>
      </w:pPr>
    </w:lvl>
    <w:lvl w:ilvl="5">
      <w:start w:val="1"/>
      <w:numFmt w:val="lowerRoman"/>
      <w:lvlText w:val="%4.%5.%6"/>
      <w:lvlJc w:val="right"/>
      <w:pPr>
        <w:ind w:left="4320" w:hanging="180"/>
      </w:pPr>
    </w:lvl>
    <w:lvl w:ilvl="6">
      <w:start w:val="1"/>
      <w:numFmt w:val="decimal"/>
      <w:lvlText w:val="%5.%6.%7"/>
      <w:lvlJc w:val="left"/>
      <w:pPr>
        <w:ind w:left="5040" w:hanging="360"/>
      </w:pPr>
    </w:lvl>
    <w:lvl w:ilvl="7">
      <w:start w:val="1"/>
      <w:numFmt w:val="lowerLetter"/>
      <w:lvlText w:val="%6.%7.%8"/>
      <w:lvlJc w:val="left"/>
      <w:pPr>
        <w:ind w:left="5760" w:hanging="360"/>
      </w:pPr>
    </w:lvl>
    <w:lvl w:ilvl="8">
      <w:start w:val="1"/>
      <w:numFmt w:val="lowerRoman"/>
      <w:lvlText w:val="%7.%8.%9"/>
      <w:lvlJc w:val="right"/>
      <w:pPr>
        <w:ind w:left="6480" w:hanging="180"/>
      </w:pPr>
    </w:lvl>
  </w:abstractNum>
  <w:abstractNum w:abstractNumId="2" w15:restartNumberingAfterBreak="0">
    <w:nsid w:val="26FB36FA"/>
    <w:multiLevelType w:val="multilevel"/>
    <w:tmpl w:val="824E8936"/>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43D74D21"/>
    <w:multiLevelType w:val="multilevel"/>
    <w:tmpl w:val="445E3100"/>
    <w:lvl w:ilvl="0">
      <w:start w:val="1"/>
      <w:numFmt w:val="decimal"/>
      <w:lvlText w:val="%1"/>
      <w:lvlJc w:val="left"/>
      <w:pPr>
        <w:ind w:left="1800" w:hanging="360"/>
      </w:pPr>
    </w:lvl>
    <w:lvl w:ilvl="1">
      <w:start w:val="1"/>
      <w:numFmt w:val="lowerLetter"/>
      <w:lvlText w:val="%1.%2"/>
      <w:lvlJc w:val="left"/>
      <w:pPr>
        <w:ind w:left="2520" w:hanging="360"/>
      </w:pPr>
    </w:lvl>
    <w:lvl w:ilvl="2">
      <w:start w:val="1"/>
      <w:numFmt w:val="lowerRoman"/>
      <w:lvlText w:val="%1.%2.%3"/>
      <w:lvlJc w:val="right"/>
      <w:pPr>
        <w:ind w:left="3240" w:hanging="180"/>
      </w:pPr>
    </w:lvl>
    <w:lvl w:ilvl="3">
      <w:start w:val="1"/>
      <w:numFmt w:val="decimal"/>
      <w:lvlText w:val="%2.%3.%4"/>
      <w:lvlJc w:val="left"/>
      <w:pPr>
        <w:ind w:left="3960" w:hanging="360"/>
      </w:pPr>
    </w:lvl>
    <w:lvl w:ilvl="4">
      <w:start w:val="1"/>
      <w:numFmt w:val="lowerLetter"/>
      <w:lvlText w:val="%3.%4.%5"/>
      <w:lvlJc w:val="left"/>
      <w:pPr>
        <w:ind w:left="4680" w:hanging="360"/>
      </w:pPr>
    </w:lvl>
    <w:lvl w:ilvl="5">
      <w:start w:val="1"/>
      <w:numFmt w:val="lowerRoman"/>
      <w:lvlText w:val="%4.%5.%6"/>
      <w:lvlJc w:val="right"/>
      <w:pPr>
        <w:ind w:left="5400" w:hanging="180"/>
      </w:pPr>
    </w:lvl>
    <w:lvl w:ilvl="6">
      <w:start w:val="1"/>
      <w:numFmt w:val="decimal"/>
      <w:lvlText w:val="%5.%6.%7"/>
      <w:lvlJc w:val="left"/>
      <w:pPr>
        <w:ind w:left="6120" w:hanging="360"/>
      </w:pPr>
    </w:lvl>
    <w:lvl w:ilvl="7">
      <w:start w:val="1"/>
      <w:numFmt w:val="lowerLetter"/>
      <w:lvlText w:val="%6.%7.%8"/>
      <w:lvlJc w:val="left"/>
      <w:pPr>
        <w:ind w:left="6840" w:hanging="360"/>
      </w:pPr>
    </w:lvl>
    <w:lvl w:ilvl="8">
      <w:start w:val="1"/>
      <w:numFmt w:val="lowerRoman"/>
      <w:lvlText w:val="%7.%8.%9"/>
      <w:lvlJc w:val="right"/>
      <w:pPr>
        <w:ind w:left="7560" w:hanging="180"/>
      </w:pPr>
    </w:lvl>
  </w:abstractNum>
  <w:abstractNum w:abstractNumId="4" w15:restartNumberingAfterBreak="0">
    <w:nsid w:val="51817E82"/>
    <w:multiLevelType w:val="multilevel"/>
    <w:tmpl w:val="13C48F9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5337195E"/>
    <w:multiLevelType w:val="multilevel"/>
    <w:tmpl w:val="B2AC15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E7D2B85"/>
    <w:multiLevelType w:val="multilevel"/>
    <w:tmpl w:val="7BF041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6C54ED6"/>
    <w:multiLevelType w:val="multilevel"/>
    <w:tmpl w:val="6E6EF462"/>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 w15:restartNumberingAfterBreak="0">
    <w:nsid w:val="7BC62AC4"/>
    <w:multiLevelType w:val="multilevel"/>
    <w:tmpl w:val="9FA6119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7EB544C9"/>
    <w:multiLevelType w:val="multilevel"/>
    <w:tmpl w:val="3E906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9398376">
    <w:abstractNumId w:val="4"/>
  </w:num>
  <w:num w:numId="2" w16cid:durableId="640619777">
    <w:abstractNumId w:val="9"/>
  </w:num>
  <w:num w:numId="3" w16cid:durableId="1759592558">
    <w:abstractNumId w:val="3"/>
  </w:num>
  <w:num w:numId="4" w16cid:durableId="2011787133">
    <w:abstractNumId w:val="0"/>
  </w:num>
  <w:num w:numId="5" w16cid:durableId="298534185">
    <w:abstractNumId w:val="2"/>
  </w:num>
  <w:num w:numId="6" w16cid:durableId="1319765149">
    <w:abstractNumId w:val="7"/>
  </w:num>
  <w:num w:numId="7" w16cid:durableId="851919206">
    <w:abstractNumId w:val="1"/>
  </w:num>
  <w:num w:numId="8" w16cid:durableId="441268898">
    <w:abstractNumId w:val="5"/>
  </w:num>
  <w:num w:numId="9" w16cid:durableId="2046246521">
    <w:abstractNumId w:val="6"/>
  </w:num>
  <w:num w:numId="10" w16cid:durableId="5018961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776"/>
    <w:rsid w:val="00076776"/>
    <w:rsid w:val="00081C0B"/>
    <w:rsid w:val="00511647"/>
    <w:rsid w:val="00597B96"/>
    <w:rsid w:val="00852F50"/>
    <w:rsid w:val="00A1156C"/>
    <w:rsid w:val="00BC7812"/>
    <w:rsid w:val="00BF75F6"/>
    <w:rsid w:val="00D143CC"/>
    <w:rsid w:val="00D5117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705FC80E"/>
  <w15:docId w15:val="{D4AA2337-28AA-F14D-9861-6070DA038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val="en-CA"/>
    </w:rPr>
  </w:style>
  <w:style w:type="paragraph" w:styleId="Heading1">
    <w:name w:val="heading 1"/>
    <w:basedOn w:val="Normal"/>
    <w:next w:val="Normal"/>
    <w:uiPriority w:val="9"/>
    <w:qFormat/>
    <w:pPr>
      <w:keepNext/>
      <w:keepLines/>
      <w:spacing w:before="240"/>
      <w:outlineLvl w:val="0"/>
    </w:pPr>
    <w:rPr>
      <w:rFonts w:eastAsia="Calibri" w:cs="Times New Roman (Body CS)"/>
      <w:sz w:val="44"/>
      <w:szCs w:val="32"/>
    </w:rPr>
  </w:style>
  <w:style w:type="paragraph" w:styleId="Heading2">
    <w:name w:val="heading 2"/>
    <w:basedOn w:val="Normal"/>
    <w:next w:val="Normal"/>
    <w:uiPriority w:val="9"/>
    <w:unhideWhenUsed/>
    <w:qFormat/>
    <w:pPr>
      <w:keepNext/>
      <w:keepLines/>
      <w:spacing w:before="40"/>
      <w:outlineLvl w:val="1"/>
    </w:pPr>
    <w:rPr>
      <w:rFonts w:eastAsia="Calibri" w:cs="Times New Roman (Body CS)"/>
      <w:sz w:val="36"/>
      <w:szCs w:val="26"/>
    </w:rPr>
  </w:style>
  <w:style w:type="paragraph" w:styleId="Heading3">
    <w:name w:val="heading 3"/>
    <w:basedOn w:val="Normal"/>
    <w:next w:val="Normal"/>
    <w:uiPriority w:val="9"/>
    <w:unhideWhenUsed/>
    <w:qFormat/>
    <w:pPr>
      <w:keepNext/>
      <w:keepLines/>
      <w:spacing w:before="40"/>
      <w:outlineLvl w:val="2"/>
    </w:pPr>
    <w:rPr>
      <w:rFonts w:eastAsia="Calibri" w:cs="Times New Roman (Body CS)"/>
      <w:sz w:val="32"/>
    </w:rPr>
  </w:style>
  <w:style w:type="paragraph" w:styleId="Heading4">
    <w:name w:val="heading 4"/>
    <w:basedOn w:val="Normal"/>
    <w:next w:val="Normal"/>
    <w:uiPriority w:val="9"/>
    <w:unhideWhenUsed/>
    <w:qFormat/>
    <w:pPr>
      <w:keepNext/>
      <w:keepLines/>
      <w:spacing w:before="40"/>
      <w:outlineLvl w:val="3"/>
    </w:pPr>
    <w:rPr>
      <w:rFonts w:eastAsia="Calibri" w:cs="Times New Roman (Body CS)"/>
      <w:iCs/>
      <w:sz w:val="28"/>
    </w:rPr>
  </w:style>
  <w:style w:type="paragraph" w:styleId="Heading5">
    <w:name w:val="heading 5"/>
    <w:basedOn w:val="Normal"/>
    <w:next w:val="Normal"/>
    <w:uiPriority w:val="9"/>
    <w:unhideWhenUsed/>
    <w:qFormat/>
    <w:pPr>
      <w:keepNext/>
      <w:keepLines/>
      <w:spacing w:before="40"/>
      <w:outlineLvl w:val="4"/>
    </w:pPr>
    <w:rPr>
      <w:rFonts w:eastAsia="Calibri" w:cs="Times New Roman (Body CS)"/>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contextualSpacing/>
    </w:pPr>
    <w:rPr>
      <w:rFonts w:eastAsia="Calibri" w:cs="Times New Roman (Body CS)"/>
      <w:spacing w:val="-10"/>
      <w:kern w:val="2"/>
      <w:sz w:val="56"/>
      <w:szCs w:val="56"/>
    </w:rPr>
  </w:style>
  <w:style w:type="character" w:customStyle="1" w:styleId="Heading1Char">
    <w:name w:val="Heading 1 Char"/>
    <w:basedOn w:val="DefaultParagraphFont"/>
    <w:qFormat/>
    <w:rPr>
      <w:rFonts w:eastAsia="Calibri" w:cs="Times New Roman (Body CS)"/>
      <w:sz w:val="44"/>
      <w:szCs w:val="32"/>
    </w:rPr>
  </w:style>
  <w:style w:type="character" w:customStyle="1" w:styleId="Heading2Char">
    <w:name w:val="Heading 2 Char"/>
    <w:basedOn w:val="DefaultParagraphFont"/>
    <w:qFormat/>
    <w:rPr>
      <w:rFonts w:eastAsia="Calibri" w:cs="Times New Roman (Body CS)"/>
      <w:sz w:val="36"/>
      <w:szCs w:val="26"/>
    </w:rPr>
  </w:style>
  <w:style w:type="character" w:customStyle="1" w:styleId="TitleChar">
    <w:name w:val="Title Char"/>
    <w:basedOn w:val="DefaultParagraphFont"/>
    <w:qFormat/>
    <w:rPr>
      <w:rFonts w:eastAsia="Calibri" w:cs="Times New Roman (Body CS)"/>
      <w:spacing w:val="-10"/>
      <w:kern w:val="2"/>
      <w:sz w:val="56"/>
      <w:szCs w:val="56"/>
    </w:rPr>
  </w:style>
  <w:style w:type="character" w:customStyle="1" w:styleId="SubtitleChar">
    <w:name w:val="Subtitle Char"/>
    <w:basedOn w:val="DefaultParagraphFont"/>
    <w:qFormat/>
    <w:rPr>
      <w:rFonts w:eastAsia="Calibri" w:cs="Times New Roman (Body CS)"/>
      <w:b/>
      <w:bCs/>
      <w:spacing w:val="15"/>
      <w:sz w:val="48"/>
      <w:szCs w:val="48"/>
    </w:rPr>
  </w:style>
  <w:style w:type="character" w:customStyle="1" w:styleId="Heading3Char">
    <w:name w:val="Heading 3 Char"/>
    <w:basedOn w:val="DefaultParagraphFont"/>
    <w:qFormat/>
    <w:rPr>
      <w:rFonts w:eastAsia="Calibri" w:cs="Times New Roman (Body CS)"/>
      <w:sz w:val="32"/>
    </w:rPr>
  </w:style>
  <w:style w:type="character" w:customStyle="1" w:styleId="Heading4Char">
    <w:name w:val="Heading 4 Char"/>
    <w:basedOn w:val="DefaultParagraphFont"/>
    <w:qFormat/>
    <w:rPr>
      <w:rFonts w:eastAsia="Calibri" w:cs="Times New Roman (Body CS)"/>
      <w:iCs/>
      <w:sz w:val="28"/>
    </w:rPr>
  </w:style>
  <w:style w:type="character" w:customStyle="1" w:styleId="Heading5Char">
    <w:name w:val="Heading 5 Char"/>
    <w:basedOn w:val="DefaultParagraphFont"/>
    <w:qFormat/>
    <w:rPr>
      <w:rFonts w:eastAsia="Calibri" w:cs="Times New Roman (Body CS)"/>
      <w:b/>
    </w:rPr>
  </w:style>
  <w:style w:type="character" w:customStyle="1" w:styleId="FootnoteTextChar">
    <w:name w:val="Footnote Text Char"/>
    <w:basedOn w:val="DefaultParagraphFont"/>
    <w:qFormat/>
    <w:rPr>
      <w:sz w:val="20"/>
      <w:szCs w:val="20"/>
    </w:rPr>
  </w:style>
  <w:style w:type="character" w:customStyle="1" w:styleId="FootnoteCharacters">
    <w:name w:val="Footnote Characters"/>
    <w:basedOn w:val="DefaultParagraphFont"/>
    <w:qFormat/>
    <w:rPr>
      <w:vertAlign w:val="superscript"/>
    </w:rPr>
  </w:style>
  <w:style w:type="character" w:customStyle="1" w:styleId="FootnoteAnchor">
    <w:name w:val="Footnote Anchor"/>
    <w:rPr>
      <w:vertAlign w:val="superscript"/>
    </w:rPr>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styleId="PageNumber">
    <w:name w:val="page number"/>
    <w:basedOn w:val="DefaultParagraphFont"/>
    <w:qFormat/>
  </w:style>
  <w:style w:type="character" w:styleId="Hyperlink">
    <w:name w:val="Hyperlink"/>
    <w:basedOn w:val="DefaultParagraphFont"/>
    <w:rPr>
      <w:color w:val="0563C1"/>
      <w:u w:val="single"/>
    </w:rPr>
  </w:style>
  <w:style w:type="character" w:styleId="UnresolvedMention">
    <w:name w:val="Unresolved Mention"/>
    <w:basedOn w:val="DefaultParagraphFont"/>
    <w:qFormat/>
    <w:rPr>
      <w:color w:val="605E5C"/>
      <w:highlight w:val="lightGray"/>
    </w:rPr>
  </w:style>
  <w:style w:type="character" w:customStyle="1" w:styleId="apple-converted-space">
    <w:name w:val="apple-converted-space"/>
    <w:basedOn w:val="DefaultParagraphFont"/>
    <w:qFormat/>
  </w:style>
  <w:style w:type="character" w:styleId="FollowedHyperlink">
    <w:name w:val="FollowedHyperlink"/>
    <w:basedOn w:val="DefaultParagraphFont"/>
    <w:rPr>
      <w:color w:val="954F72"/>
      <w:u w:val="single"/>
    </w:rPr>
  </w:style>
  <w:style w:type="character" w:customStyle="1" w:styleId="BalloonTextChar">
    <w:name w:val="Balloon Text Char"/>
    <w:basedOn w:val="DefaultParagraphFont"/>
    <w:qFormat/>
    <w:rPr>
      <w:rFonts w:cs="Times New Roman"/>
      <w:sz w:val="18"/>
      <w:szCs w:val="18"/>
    </w:rPr>
  </w:style>
  <w:style w:type="character" w:customStyle="1" w:styleId="BodyTextChar">
    <w:name w:val="Body Text Char"/>
    <w:basedOn w:val="DefaultParagraphFont"/>
    <w:qFormat/>
    <w:rPr>
      <w:rFonts w:eastAsia="Noto Sans CJK SC" w:cs="Lohit Devanagari"/>
      <w:kern w:val="2"/>
      <w:lang w:eastAsia="zh-CN" w:bidi="hi-IN"/>
    </w:rPr>
  </w:style>
  <w:style w:type="character" w:styleId="CommentReference">
    <w:name w:val="annotation reference"/>
    <w:basedOn w:val="DefaultParagraphFont"/>
    <w:qFormat/>
    <w:rPr>
      <w:sz w:val="16"/>
      <w:szCs w:val="16"/>
    </w:rPr>
  </w:style>
  <w:style w:type="character" w:customStyle="1" w:styleId="CommentTextChar">
    <w:name w:val="Comment Text Char"/>
    <w:basedOn w:val="DefaultParagraphFont"/>
    <w:qFormat/>
    <w:rPr>
      <w:rFonts w:eastAsia="Times New Roman" w:cs="Times New Roman"/>
      <w:sz w:val="20"/>
      <w:szCs w:val="20"/>
    </w:rPr>
  </w:style>
  <w:style w:type="character" w:customStyle="1" w:styleId="CommentSubjectChar">
    <w:name w:val="Comment Subject Char"/>
    <w:basedOn w:val="CommentTextChar"/>
    <w:qFormat/>
    <w:rPr>
      <w:rFonts w:eastAsia="Times New Roman" w:cs="Times New Roman"/>
      <w:b/>
      <w:bCs/>
      <w:sz w:val="20"/>
      <w:szCs w:val="20"/>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rPr>
      <w:rFonts w:eastAsia="Noto Sans CJK SC" w:cs="Lohit Devanagari"/>
      <w:kern w:val="2"/>
      <w:lang w:eastAsia="zh-CN" w:bidi="hi-IN"/>
    </w:rPr>
  </w:style>
  <w:style w:type="paragraph" w:styleId="List">
    <w:name w:val="List"/>
    <w:basedOn w:val="BodyText"/>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Subtitle">
    <w:name w:val="Subtitle"/>
    <w:basedOn w:val="Normal"/>
    <w:next w:val="Normal"/>
    <w:uiPriority w:val="11"/>
    <w:qFormat/>
    <w:pPr>
      <w:spacing w:after="160"/>
    </w:pPr>
    <w:rPr>
      <w:b/>
      <w:sz w:val="48"/>
      <w:szCs w:val="48"/>
    </w:rPr>
  </w:style>
  <w:style w:type="paragraph" w:styleId="FootnoteText">
    <w:name w:val="footnote text"/>
    <w:basedOn w:val="Normal"/>
    <w:rPr>
      <w:sz w:val="20"/>
      <w:szCs w:val="20"/>
    </w:rPr>
  </w:style>
  <w:style w:type="paragraph" w:customStyle="1" w:styleId="HeaderandFooter">
    <w:name w:val="Header and Footer"/>
    <w:basedOn w:val="Normal"/>
    <w:qFormat/>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paragraph" w:styleId="TOCHeading">
    <w:name w:val="TOC Heading"/>
    <w:basedOn w:val="Heading1"/>
    <w:next w:val="Normal"/>
    <w:qFormat/>
    <w:pPr>
      <w:spacing w:before="480" w:line="276" w:lineRule="auto"/>
    </w:pPr>
    <w:rPr>
      <w:rFonts w:ascii="Calibri Light" w:hAnsi="Calibri Light"/>
      <w:b/>
      <w:bCs/>
      <w:color w:val="2F5496"/>
      <w:sz w:val="28"/>
      <w:szCs w:val="28"/>
      <w:lang w:val="en-US"/>
    </w:rPr>
  </w:style>
  <w:style w:type="paragraph" w:styleId="TOC1">
    <w:name w:val="toc 1"/>
    <w:basedOn w:val="Normal"/>
    <w:next w:val="Normal"/>
    <w:autoRedefine/>
    <w:pPr>
      <w:spacing w:before="120" w:after="120"/>
    </w:pPr>
    <w:rPr>
      <w:rFonts w:ascii="Calibri" w:hAnsi="Calibri" w:cs="Calibri"/>
      <w:b/>
      <w:bCs/>
      <w:caps/>
      <w:sz w:val="20"/>
      <w:szCs w:val="20"/>
    </w:rPr>
  </w:style>
  <w:style w:type="paragraph" w:styleId="TOC2">
    <w:name w:val="toc 2"/>
    <w:basedOn w:val="Normal"/>
    <w:next w:val="Normal"/>
    <w:autoRedefine/>
    <w:pPr>
      <w:ind w:left="240"/>
    </w:pPr>
    <w:rPr>
      <w:rFonts w:ascii="Calibri" w:hAnsi="Calibri" w:cs="Calibri"/>
      <w:smallCaps/>
      <w:sz w:val="20"/>
      <w:szCs w:val="20"/>
    </w:rPr>
  </w:style>
  <w:style w:type="paragraph" w:styleId="TOC3">
    <w:name w:val="toc 3"/>
    <w:basedOn w:val="Normal"/>
    <w:next w:val="Normal"/>
    <w:autoRedefine/>
    <w:pPr>
      <w:ind w:left="480"/>
    </w:pPr>
    <w:rPr>
      <w:rFonts w:ascii="Calibri" w:hAnsi="Calibri" w:cs="Calibri"/>
      <w:i/>
      <w:iCs/>
      <w:sz w:val="20"/>
      <w:szCs w:val="20"/>
    </w:rPr>
  </w:style>
  <w:style w:type="paragraph" w:styleId="TOC4">
    <w:name w:val="toc 4"/>
    <w:basedOn w:val="Normal"/>
    <w:next w:val="Normal"/>
    <w:autoRedefine/>
    <w:pPr>
      <w:ind w:left="720"/>
    </w:pPr>
    <w:rPr>
      <w:rFonts w:ascii="Calibri" w:hAnsi="Calibri" w:cs="Calibri"/>
      <w:sz w:val="18"/>
      <w:szCs w:val="18"/>
    </w:rPr>
  </w:style>
  <w:style w:type="paragraph" w:styleId="TOC5">
    <w:name w:val="toc 5"/>
    <w:basedOn w:val="Normal"/>
    <w:next w:val="Normal"/>
    <w:autoRedefine/>
    <w:pPr>
      <w:ind w:left="960"/>
    </w:pPr>
    <w:rPr>
      <w:rFonts w:ascii="Calibri" w:hAnsi="Calibri" w:cs="Calibri"/>
      <w:sz w:val="18"/>
      <w:szCs w:val="18"/>
    </w:rPr>
  </w:style>
  <w:style w:type="paragraph" w:styleId="TOC6">
    <w:name w:val="toc 6"/>
    <w:basedOn w:val="Normal"/>
    <w:next w:val="Normal"/>
    <w:autoRedefine/>
    <w:pPr>
      <w:ind w:left="1200"/>
    </w:pPr>
    <w:rPr>
      <w:rFonts w:ascii="Calibri" w:hAnsi="Calibri" w:cs="Calibri"/>
      <w:sz w:val="18"/>
      <w:szCs w:val="18"/>
    </w:rPr>
  </w:style>
  <w:style w:type="paragraph" w:styleId="TOC7">
    <w:name w:val="toc 7"/>
    <w:basedOn w:val="Normal"/>
    <w:next w:val="Normal"/>
    <w:autoRedefine/>
    <w:pPr>
      <w:ind w:left="1440"/>
    </w:pPr>
    <w:rPr>
      <w:rFonts w:ascii="Calibri" w:hAnsi="Calibri" w:cs="Calibri"/>
      <w:sz w:val="18"/>
      <w:szCs w:val="18"/>
    </w:rPr>
  </w:style>
  <w:style w:type="paragraph" w:styleId="TOC8">
    <w:name w:val="toc 8"/>
    <w:basedOn w:val="Normal"/>
    <w:next w:val="Normal"/>
    <w:autoRedefine/>
    <w:pPr>
      <w:ind w:left="1680"/>
    </w:pPr>
    <w:rPr>
      <w:rFonts w:ascii="Calibri" w:hAnsi="Calibri" w:cs="Calibri"/>
      <w:sz w:val="18"/>
      <w:szCs w:val="18"/>
    </w:rPr>
  </w:style>
  <w:style w:type="paragraph" w:styleId="TOC9">
    <w:name w:val="toc 9"/>
    <w:basedOn w:val="Normal"/>
    <w:next w:val="Normal"/>
    <w:autoRedefine/>
    <w:pPr>
      <w:ind w:left="1920"/>
    </w:pPr>
    <w:rPr>
      <w:rFonts w:ascii="Calibri" w:hAnsi="Calibri" w:cs="Calibri"/>
      <w:sz w:val="18"/>
      <w:szCs w:val="18"/>
    </w:rPr>
  </w:style>
  <w:style w:type="paragraph" w:styleId="ListParagraph">
    <w:name w:val="List Paragraph"/>
    <w:basedOn w:val="Normal"/>
    <w:qFormat/>
    <w:pPr>
      <w:ind w:left="720"/>
      <w:contextualSpacing/>
    </w:pPr>
  </w:style>
  <w:style w:type="paragraph" w:styleId="Revision">
    <w:name w:val="Revision"/>
    <w:qFormat/>
    <w:pPr>
      <w:suppressAutoHyphens/>
    </w:pPr>
    <w:rPr>
      <w:rFonts w:eastAsia="Calibri" w:cs="Times New Roman (Body CS)"/>
      <w:lang w:val="en-CA"/>
    </w:rPr>
  </w:style>
  <w:style w:type="paragraph" w:styleId="NormalWeb">
    <w:name w:val="Normal (Web)"/>
    <w:basedOn w:val="Normal"/>
    <w:qFormat/>
    <w:pPr>
      <w:spacing w:before="280" w:after="280"/>
    </w:pPr>
  </w:style>
  <w:style w:type="paragraph" w:styleId="BalloonText">
    <w:name w:val="Balloon Text"/>
    <w:basedOn w:val="Normal"/>
    <w:qFormat/>
    <w:rPr>
      <w:sz w:val="18"/>
      <w:szCs w:val="18"/>
    </w:rPr>
  </w:style>
  <w:style w:type="paragraph" w:styleId="CommentText">
    <w:name w:val="annotation text"/>
    <w:basedOn w:val="Normal"/>
    <w:qFormat/>
    <w:rPr>
      <w:sz w:val="20"/>
      <w:szCs w:val="20"/>
    </w:rPr>
  </w:style>
  <w:style w:type="paragraph" w:styleId="CommentSubject">
    <w:name w:val="annotation subject"/>
    <w:basedOn w:val="CommentText"/>
    <w:next w:val="CommentText"/>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quora.com/Why-does-Linux-drains-lot-of-battery-compared-to-windows" TargetMode="External"/><Relationship Id="rId18" Type="http://schemas.openxmlformats.org/officeDocument/2006/relationships/hyperlink" Target="http://./%E2%80%98A" TargetMode="External"/><Relationship Id="rId26" Type="http://schemas.openxmlformats.org/officeDocument/2006/relationships/hyperlink" Target="https://en.wikipedia.org/wiki/Journals_of_the_First_Fleet" TargetMode="External"/><Relationship Id="rId39" Type="http://schemas.openxmlformats.org/officeDocument/2006/relationships/hyperlink" Target="https://www.thecanadianencyclopedia.ca/en/article/residential-schools" TargetMode="External"/><Relationship Id="rId21" Type="http://schemas.openxmlformats.org/officeDocument/2006/relationships/hyperlink" Target="http://settler" TargetMode="External"/><Relationship Id="rId34" Type="http://schemas.openxmlformats.org/officeDocument/2006/relationships/hyperlink" Target="https://ebookcentral-proquest-com.ezproxy.library.uvic.ca/lib/uvic/reader.action?docID=1074989&amp;ppg=1" TargetMode="External"/><Relationship Id="rId42"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teraction-design.org/literature/topics/human-computer-interaction"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xfordreference.com/view/10.1093/oi/authority.20110803095635664" TargetMode="External"/><Relationship Id="rId24" Type="http://schemas.openxmlformats.org/officeDocument/2006/relationships/hyperlink" Target="https://www.wetsuweten.com/" TargetMode="External"/><Relationship Id="rId32" Type="http://schemas.openxmlformats.org/officeDocument/2006/relationships/hyperlink" Target="https://journals-sagepub-com.ezproxy.library.uvic.ca/doi/10.1177/0306396806066645" TargetMode="External"/><Relationship Id="rId37" Type="http://schemas.openxmlformats.org/officeDocument/2006/relationships/hyperlink" Target="https://www.bl.uk/britishlibrary/~/media/bl/global/picturing%20places/add%20ms%2021593%20c%20copy%20chart%20of%20the%20society%20islands%20by%20cook%20after%20tupaia.jpg" TargetMode="External"/><Relationship Id="rId40" Type="http://schemas.openxmlformats.org/officeDocument/2006/relationships/hyperlink" Target="https://goletahistory.com/whats-a-goleta/"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Argument_to_moderation" TargetMode="External"/><Relationship Id="rId23" Type="http://schemas.openxmlformats.org/officeDocument/2006/relationships/hyperlink" Target="https://github.com/GrantLS/TEI-Boilerplate" TargetMode="External"/><Relationship Id="rId28" Type="http://schemas.openxmlformats.org/officeDocument/2006/relationships/hyperlink" Target="https://www.pcmag.com/encyclopedia/term/planimetric-map" TargetMode="External"/><Relationship Id="rId36" Type="http://schemas.openxmlformats.org/officeDocument/2006/relationships/image" Target="media/image4.png"/><Relationship Id="rId10" Type="http://schemas.openxmlformats.org/officeDocument/2006/relationships/hyperlink" Target="https://docs.google.com/document/d/1OiBw0-PqxPwFrYl0Qu-5wSZdf1UUk5b2N2QxxSm-5BI/edit?usp=sharing" TargetMode="External"/><Relationship Id="rId19" Type="http://schemas.openxmlformats.org/officeDocument/2006/relationships/hyperlink" Target="https://en.wikipedia.org/wiki/Fordism" TargetMode="External"/><Relationship Id="rId31" Type="http://schemas.openxmlformats.org/officeDocument/2006/relationships/image" Target="media/image3.jp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ebapp.navionics.com/" TargetMode="External"/><Relationship Id="rId14" Type="http://schemas.openxmlformats.org/officeDocument/2006/relationships/hyperlink" Target="https://plato.stanford.edu/entries/epistemology/" TargetMode="External"/><Relationship Id="rId22" Type="http://schemas.openxmlformats.org/officeDocument/2006/relationships/hyperlink" Target="http://banal" TargetMode="External"/><Relationship Id="rId27" Type="http://schemas.openxmlformats.org/officeDocument/2006/relationships/hyperlink" Target="https://www.tandfonline.com/doi/pdf/10.1080/09502368908582057" TargetMode="External"/><Relationship Id="rId30" Type="http://schemas.openxmlformats.org/officeDocument/2006/relationships/hyperlink" Target="http://web.b.ebscohost.com.ezproxy.library.uvic.ca/ehost/detail/detail?vid=0&amp;sid=cae72db0-c67e-4183-a969-a36c62033c3a@pdc-v-sessmgr05&amp;bdata=JnNpdGU9ZWhvc3QtbGl2ZSZzY29wZT1zaXRl" TargetMode="External"/><Relationship Id="rId35" Type="http://schemas.openxmlformats.org/officeDocument/2006/relationships/hyperlink" Target="http://www.water-alternatives.org/index.php/alldoc/articles/vol5/v5issue1/162-a5-1-9/file" TargetMode="External"/><Relationship Id="rId43" Type="http://schemas.openxmlformats.org/officeDocument/2006/relationships/hyperlink" Target="https://ia800209.us.archive.org/32/items/cihm_18767/cihm_18767.pdf" TargetMode="External"/><Relationship Id="rId8" Type="http://schemas.openxmlformats.org/officeDocument/2006/relationships/hyperlink" Target="https://upload.wikimedia.org/wikipedia/commons/5/58/Dante_Domenico_di_Michelino_Duomo_Florence.jpg" TargetMode="External"/><Relationship Id="rId3" Type="http://schemas.openxmlformats.org/officeDocument/2006/relationships/styles" Target="styles.xml"/><Relationship Id="rId12" Type="http://schemas.openxmlformats.org/officeDocument/2006/relationships/hyperlink" Target="https://drive.google.com/open?id=1DB6J4G11qwhZ0T1ViLQzxlsqfmmcFRgX" TargetMode="External"/><Relationship Id="rId17" Type="http://schemas.openxmlformats.org/officeDocument/2006/relationships/hyperlink" Target="https://www3.nd.edu/~afreddos/courses/439/what-is-enlightenment.htm" TargetMode="External"/><Relationship Id="rId25" Type="http://schemas.openxmlformats.org/officeDocument/2006/relationships/hyperlink" Target="https://museum.wa.gov.au/research/research-areas/maritime-archaeology/batavia-cape-inscription/cape-inscription/hartog" TargetMode="External"/><Relationship Id="rId33" Type="http://schemas.openxmlformats.org/officeDocument/2006/relationships/hyperlink" Target="https://en.wikipedia.org/wiki/Keynesian_economics" TargetMode="External"/><Relationship Id="rId38" Type="http://schemas.openxmlformats.org/officeDocument/2006/relationships/hyperlink" Target="http://www.english.hawaii.edu/criticalink/heidegger/guide6.html" TargetMode="External"/><Relationship Id="rId46" Type="http://schemas.openxmlformats.org/officeDocument/2006/relationships/theme" Target="theme/theme1.xml"/><Relationship Id="rId20" Type="http://schemas.openxmlformats.org/officeDocument/2006/relationships/image" Target="media/image1.png"/><Relationship Id="rId41" Type="http://schemas.openxmlformats.org/officeDocument/2006/relationships/hyperlink" Target="https://en.wikipedia.org/wiki/Cadastral_survey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nOiWwFvuRhBiNbm6176CRHdHtg==">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9c61d377-9894-427c-b13b-1d6a51662b4e}" enabled="0" method="" siteId="{9c61d377-9894-427c-b13b-1d6a51662b4e}" removed="1"/>
</clbl:labelList>
</file>

<file path=docProps/app.xml><?xml version="1.0" encoding="utf-8"?>
<Properties xmlns="http://schemas.openxmlformats.org/officeDocument/2006/extended-properties" xmlns:vt="http://schemas.openxmlformats.org/officeDocument/2006/docPropsVTypes">
  <Template>Normal.dotm</Template>
  <TotalTime>27</TotalTime>
  <Pages>260</Pages>
  <Words>118212</Words>
  <Characters>673813</Characters>
  <Application>Microsoft Office Word</Application>
  <DocSecurity>0</DocSecurity>
  <Lines>5615</Lines>
  <Paragraphs>1580</Paragraphs>
  <ScaleCrop>false</ScaleCrop>
  <Company/>
  <LinksUpToDate>false</LinksUpToDate>
  <CharactersWithSpaces>790445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Shortreed</dc:creator>
  <cp:lastModifiedBy>Kim Shortreed</cp:lastModifiedBy>
  <cp:revision>5</cp:revision>
  <dcterms:created xsi:type="dcterms:W3CDTF">2020-01-09T19:21:00Z</dcterms:created>
  <dcterms:modified xsi:type="dcterms:W3CDTF">2026-06-11T17:21:00Z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